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olor w:val="505050"/>
          <w:sz w:val="22"/>
        </w:rPr>
        <w:t>Futurense Technologies  |  Lovely Professional University</w:t>
      </w:r>
    </w:p>
    <w:p>
      <w:pPr>
        <w:jc w:val="center"/>
      </w:pPr>
      <w:r>
        <w:rPr>
          <w:rFonts w:ascii="Calibri" w:hAnsi="Calibri"/>
          <w:i/>
          <w:color w:val="505050"/>
          <w:sz w:val="20"/>
        </w:rPr>
        <w:t>School of Computer Science &amp; Engineering</w:t>
      </w:r>
    </w:p>
    <w:p/>
    <w:p>
      <w:pPr>
        <w:jc w:val="center"/>
      </w:pPr>
      <w:r>
        <w:rPr>
          <w:rFonts w:ascii="Calibri" w:hAnsi="Calibri"/>
          <w:b/>
          <w:color w:val="1B3A6B"/>
          <w:sz w:val="40"/>
        </w:rPr>
        <w:t>Integrated Project Assignment Brief</w:t>
      </w:r>
    </w:p>
    <w:p>
      <w:pPr>
        <w:jc w:val="center"/>
      </w:pPr>
      <w:r>
        <w:rPr>
          <w:rFonts w:ascii="Calibri" w:hAnsi="Calibri"/>
          <w:b/>
          <w:color w:val="2E6DA4"/>
          <w:sz w:val="28"/>
        </w:rPr>
        <w:t>P08 — Stock Market Sentiment and Price Movement Predictor</w:t>
      </w:r>
    </w:p>
    <w:p>
      <w:pPr>
        <w:jc w:val="center"/>
      </w:pPr>
      <w:r>
        <w:rPr>
          <w:rFonts w:ascii="Calibri" w:hAnsi="Calibri"/>
          <w:i/>
          <w:color w:val="646464"/>
          <w:sz w:val="22"/>
        </w:rPr>
        <w:t>CSR311 Deep Learning  ·  CSR322 Natural Language Processing</w:t>
      </w:r>
    </w:p>
    <w:p/>
    <w:tbl>
      <w:tblPr>
        <w:tblStyle w:val="TableGrid"/>
        <w:tblW w:type="auto" w:w="0"/>
        <w:jc w:val="left"/>
        <w:tblLook w:firstColumn="1" w:firstRow="1" w:lastColumn="0" w:lastRow="0" w:noHBand="0" w:noVBand="1" w:val="04A0"/>
      </w:tblPr>
      <w:tblGrid>
        <w:gridCol w:w="4537"/>
        <w:gridCol w:w="4537"/>
      </w:tblGrid>
      <w:tr>
        <w:tc>
          <w:tcPr>
            <w:tcW w:type="dxa" w:w="4537"/>
            <w:shd w:val="clear" w:color="auto" w:fill="D9EAF7"/>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i w:val="0"/>
                <w:color w:val="1B3A6B"/>
                <w:sz w:val="20"/>
              </w:rPr>
              <w:t>Project ID</w:t>
            </w:r>
          </w:p>
        </w:tc>
        <w:tc>
          <w:tcPr>
            <w:tcW w:type="dxa" w:w="4537"/>
            <w:shd w:val="clear" w:color="auto" w:fill="F9FBFD"/>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333333"/>
                <w:sz w:val="20"/>
              </w:rPr>
              <w:t>P08</w:t>
            </w:r>
          </w:p>
        </w:tc>
      </w:tr>
      <w:tr>
        <w:tc>
          <w:tcPr>
            <w:tcW w:type="dxa" w:w="4537"/>
            <w:shd w:val="clear" w:color="auto" w:fill="D9EAF7"/>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i w:val="0"/>
                <w:color w:val="1B3A6B"/>
                <w:sz w:val="20"/>
              </w:rPr>
              <w:t>Domain</w:t>
            </w:r>
          </w:p>
        </w:tc>
        <w:tc>
          <w:tcPr>
            <w:tcW w:type="dxa" w:w="4537"/>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333333"/>
                <w:sz w:val="20"/>
              </w:rPr>
              <w:t>FinTech / Algorithmic Trading</w:t>
            </w:r>
          </w:p>
        </w:tc>
      </w:tr>
      <w:tr>
        <w:tc>
          <w:tcPr>
            <w:tcW w:type="dxa" w:w="4537"/>
            <w:shd w:val="clear" w:color="auto" w:fill="D9EAF7"/>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i w:val="0"/>
                <w:color w:val="1B3A6B"/>
                <w:sz w:val="20"/>
              </w:rPr>
              <w:t>Courses</w:t>
            </w:r>
          </w:p>
        </w:tc>
        <w:tc>
          <w:tcPr>
            <w:tcW w:type="dxa" w:w="4537"/>
            <w:shd w:val="clear" w:color="auto" w:fill="F9FBFD"/>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333333"/>
                <w:sz w:val="20"/>
              </w:rPr>
              <w:t>CSR311 Deep Learning  +  CSR322 Natural Language Processing</w:t>
            </w:r>
          </w:p>
        </w:tc>
      </w:tr>
      <w:tr>
        <w:tc>
          <w:tcPr>
            <w:tcW w:type="dxa" w:w="4537"/>
            <w:shd w:val="clear" w:color="auto" w:fill="D9EAF7"/>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i w:val="0"/>
                <w:color w:val="1B3A6B"/>
                <w:sz w:val="20"/>
              </w:rPr>
              <w:t>Programme</w:t>
            </w:r>
          </w:p>
        </w:tc>
        <w:tc>
          <w:tcPr>
            <w:tcW w:type="dxa" w:w="4537"/>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333333"/>
                <w:sz w:val="20"/>
              </w:rPr>
              <w:t>B.Tech CSE (AI/ML Specialization) — 3rd Year</w:t>
            </w:r>
          </w:p>
        </w:tc>
      </w:tr>
      <w:tr>
        <w:tc>
          <w:tcPr>
            <w:tcW w:type="dxa" w:w="4537"/>
            <w:shd w:val="clear" w:color="auto" w:fill="D9EAF7"/>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i w:val="0"/>
                <w:color w:val="1B3A6B"/>
                <w:sz w:val="20"/>
              </w:rPr>
              <w:t>Academic Session</w:t>
            </w:r>
          </w:p>
        </w:tc>
        <w:tc>
          <w:tcPr>
            <w:tcW w:type="dxa" w:w="4537"/>
            <w:shd w:val="clear" w:color="auto" w:fill="F9FBFD"/>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333333"/>
                <w:sz w:val="20"/>
              </w:rPr>
              <w:t>2025–26</w:t>
            </w:r>
          </w:p>
        </w:tc>
      </w:tr>
      <w:tr>
        <w:tc>
          <w:tcPr>
            <w:tcW w:type="dxa" w:w="4537"/>
            <w:shd w:val="clear" w:color="auto" w:fill="D9EAF7"/>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i w:val="0"/>
                <w:color w:val="1B3A6B"/>
                <w:sz w:val="20"/>
              </w:rPr>
              <w:t>Difficulty</w:t>
            </w:r>
          </w:p>
        </w:tc>
        <w:tc>
          <w:tcPr>
            <w:tcW w:type="dxa" w:w="4537"/>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333333"/>
                <w:sz w:val="20"/>
              </w:rPr>
              <w:t>Moderate</w:t>
            </w:r>
          </w:p>
        </w:tc>
      </w:tr>
      <w:tr>
        <w:tc>
          <w:tcPr>
            <w:tcW w:type="dxa" w:w="4537"/>
            <w:shd w:val="clear" w:color="auto" w:fill="D9EAF7"/>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i w:val="0"/>
                <w:color w:val="1B3A6B"/>
                <w:sz w:val="20"/>
              </w:rPr>
              <w:t>Effort Estimate</w:t>
            </w:r>
          </w:p>
        </w:tc>
        <w:tc>
          <w:tcPr>
            <w:tcW w:type="dxa" w:w="4537"/>
            <w:shd w:val="clear" w:color="auto" w:fill="F9FBFD"/>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333333"/>
                <w:sz w:val="20"/>
              </w:rPr>
              <w:t>25–30 hours total (both team members combined)</w:t>
            </w:r>
          </w:p>
        </w:tc>
      </w:tr>
      <w:tr>
        <w:tc>
          <w:tcPr>
            <w:tcW w:type="dxa" w:w="4537"/>
            <w:shd w:val="clear" w:color="auto" w:fill="D9EAF7"/>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i w:val="0"/>
                <w:color w:val="1B3A6B"/>
                <w:sz w:val="20"/>
              </w:rPr>
              <w:t>Target Job Roles</w:t>
            </w:r>
          </w:p>
        </w:tc>
        <w:tc>
          <w:tcPr>
            <w:tcW w:type="dxa" w:w="4537"/>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333333"/>
                <w:sz w:val="20"/>
              </w:rPr>
              <w:t>ML Engineer  ·  Data Scientist  ·  NLP Engineer</w:t>
            </w:r>
          </w:p>
        </w:tc>
      </w:tr>
      <w:tr>
        <w:tc>
          <w:tcPr>
            <w:tcW w:type="dxa" w:w="4537"/>
            <w:shd w:val="clear" w:color="auto" w:fill="D9EAF7"/>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i w:val="0"/>
                <w:color w:val="1B3A6B"/>
                <w:sz w:val="20"/>
              </w:rPr>
              <w:t>CSR311 Syllabus Units</w:t>
            </w:r>
          </w:p>
        </w:tc>
        <w:tc>
          <w:tcPr>
            <w:tcW w:type="dxa" w:w="4537"/>
            <w:shd w:val="clear" w:color="auto" w:fill="F9FBFD"/>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333333"/>
                <w:sz w:val="20"/>
              </w:rPr>
              <w:t>Units I, II, IV</w:t>
            </w:r>
          </w:p>
        </w:tc>
      </w:tr>
      <w:tr>
        <w:tc>
          <w:tcPr>
            <w:tcW w:type="dxa" w:w="4537"/>
            <w:shd w:val="clear" w:color="auto" w:fill="D9EAF7"/>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i w:val="0"/>
                <w:color w:val="1B3A6B"/>
                <w:sz w:val="20"/>
              </w:rPr>
              <w:t>CSR322 Syllabus Units</w:t>
            </w:r>
          </w:p>
        </w:tc>
        <w:tc>
          <w:tcPr>
            <w:tcW w:type="dxa" w:w="4537"/>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333333"/>
                <w:sz w:val="20"/>
              </w:rPr>
              <w:t>Units II, III, IV</w:t>
            </w:r>
          </w:p>
        </w:tc>
      </w:tr>
    </w:tbl>
    <w:p/>
    <w:tbl>
      <w:tblPr>
        <w:tblW w:type="auto" w:w="0"/>
        <w:jc w:val="left"/>
        <w:tblLook w:firstColumn="1" w:firstRow="1" w:lastColumn="0" w:lastRow="0" w:noHBand="0" w:noVBand="1" w:val="04A0"/>
      </w:tblPr>
      <w:tblGrid>
        <w:gridCol w:w="9075"/>
      </w:tblGrid>
      <w:tr>
        <w:tc>
          <w:tcPr>
            <w:tcW w:type="dxa" w:w="9360"/>
            <w:shd w:val="clear" w:color="auto" w:fill="1B3A6B"/>
            <w:tcMar>
              <w:top w:w="100" w:type="dxa"/>
              <w:left w:w="100" w:type="dxa"/>
              <w:bottom w:w="100" w:type="dxa"/>
              <w:right w:w="100" w:type="dxa"/>
            </w:tcMar>
          </w:tcPr>
          <w:p>
            <w:pPr>
              <w:spacing w:before="100" w:after="100"/>
              <w:jc w:val="left"/>
            </w:pPr>
            <w:r>
              <w:rPr>
                <w:rFonts w:ascii="Calibri" w:hAnsi="Calibri"/>
                <w:b/>
                <w:color w:val="FFFFFF"/>
                <w:sz w:val="24"/>
              </w:rPr>
              <w:t>1.   Project Overview</w:t>
            </w:r>
          </w:p>
        </w:tc>
      </w:tr>
    </w:tbl>
    <w:p/>
    <w:p>
      <w:pPr>
        <w:spacing w:before="20" w:after="80"/>
      </w:pPr>
      <w:r>
        <w:rPr>
          <w:rFonts w:ascii="Calibri" w:hAnsi="Calibri"/>
          <w:sz w:val="20"/>
        </w:rPr>
        <w:t>This project requires building an end-to-end AI system that predicts the next-day directional movement of stock prices by combining two complementary signals: historical price patterns captured through deep learning and market sentiment derived from financial news text. Both components must be integrated into a unified prediction pipeline and evaluated comparatively.</w:t>
      </w:r>
    </w:p>
    <w:p>
      <w:pPr>
        <w:spacing w:before="20" w:after="80"/>
      </w:pPr>
      <w:r>
        <w:rPr>
          <w:rFonts w:ascii="Calibri" w:hAnsi="Calibri"/>
          <w:sz w:val="20"/>
        </w:rPr>
        <w:t>The project counts as a single submission covering both CSR311 (Deep Learning) and CSR322 (Natural Language Processing). Each objective must be independently implemented and clearly documented. The final system must demonstrate how combining both signals improves predictive performance over either approach alone.</w:t>
      </w:r>
    </w:p>
    <w:tbl>
      <w:tblPr>
        <w:tblW w:type="auto" w:w="0"/>
        <w:jc w:val="left"/>
        <w:tblLook w:firstColumn="1" w:firstRow="1" w:lastColumn="0" w:lastRow="0" w:noHBand="0" w:noVBand="1" w:val="04A0"/>
      </w:tblPr>
      <w:tblGrid>
        <w:gridCol w:w="9075"/>
      </w:tblGrid>
      <w:tr>
        <w:tc>
          <w:tcPr>
            <w:tcW w:type="dxa" w:w="9360"/>
            <w:shd w:val="clear" w:color="auto" w:fill="1B3A6B"/>
            <w:tcMar>
              <w:top w:w="100" w:type="dxa"/>
              <w:left w:w="100" w:type="dxa"/>
              <w:bottom w:w="100" w:type="dxa"/>
              <w:right w:w="100" w:type="dxa"/>
            </w:tcMar>
          </w:tcPr>
          <w:p>
            <w:pPr>
              <w:spacing w:before="100" w:after="100"/>
              <w:jc w:val="left"/>
            </w:pPr>
            <w:r>
              <w:rPr>
                <w:rFonts w:ascii="Calibri" w:hAnsi="Calibri"/>
                <w:b/>
                <w:color w:val="FFFFFF"/>
                <w:sz w:val="24"/>
              </w:rPr>
              <w:t>2.   Deep Learning Objective (CSR311)  —  Units I, II, IV</w:t>
            </w:r>
          </w:p>
        </w:tc>
      </w:tr>
    </w:tbl>
    <w:p/>
    <w:p>
      <w:pPr>
        <w:spacing w:before="120" w:after="60"/>
      </w:pPr>
      <w:r>
        <w:rPr>
          <w:rFonts w:ascii="Calibri" w:hAnsi="Calibri"/>
          <w:b/>
          <w:color w:val="1B3A6B"/>
          <w:sz w:val="22"/>
        </w:rPr>
        <w:t>LSTM Time-Series Model for Next-Day Price Direction</w:t>
      </w:r>
    </w:p>
    <w:p>
      <w:pPr>
        <w:spacing w:before="20" w:after="80"/>
      </w:pPr>
      <w:r>
        <w:rPr>
          <w:rFonts w:ascii="Calibri" w:hAnsi="Calibri"/>
          <w:sz w:val="20"/>
        </w:rPr>
        <w:t>Implement the following steps in the order listed:</w:t>
      </w:r>
    </w:p>
    <w:p>
      <w:pPr>
        <w:spacing w:before="20" w:after="60"/>
        <w:ind w:left="432"/>
      </w:pPr>
      <w:r>
        <w:rPr>
          <w:rFonts w:ascii="Calibri" w:hAnsi="Calibri"/>
          <w:b/>
          <w:color w:val="1B3A6B"/>
          <w:sz w:val="20"/>
        </w:rPr>
        <w:t xml:space="preserve">1.  </w:t>
      </w:r>
      <w:r>
        <w:rPr>
          <w:rFonts w:ascii="Calibri" w:hAnsi="Calibri"/>
          <w:sz w:val="20"/>
        </w:rPr>
        <w:t>Download 5 years of OHLCV (Open, High, Low, Close, Volume) data for 5 stocks — AAPL, MSFT, GOOGL, AMZN, TSLA — using the yfinance Python library.</w:t>
      </w:r>
    </w:p>
    <w:p>
      <w:pPr>
        <w:spacing w:before="20" w:after="60"/>
        <w:ind w:left="432"/>
      </w:pPr>
      <w:r>
        <w:rPr>
          <w:rFonts w:ascii="Calibri" w:hAnsi="Calibri"/>
          <w:b/>
          <w:color w:val="1B3A6B"/>
          <w:sz w:val="20"/>
        </w:rPr>
        <w:t xml:space="preserve">2.  </w:t>
      </w:r>
      <w:r>
        <w:rPr>
          <w:rFonts w:ascii="Calibri" w:hAnsi="Calibri"/>
          <w:sz w:val="20"/>
        </w:rPr>
        <w:t>Engineer the following input features: daily returns, 20-day rolling standard deviation, RSI with 14-period window, MACD line, and MACD signal line.</w:t>
      </w:r>
    </w:p>
    <w:p>
      <w:pPr>
        <w:spacing w:before="20" w:after="60"/>
        <w:ind w:left="432"/>
      </w:pPr>
      <w:r>
        <w:rPr>
          <w:rFonts w:ascii="Calibri" w:hAnsi="Calibri"/>
          <w:b/>
          <w:color w:val="1B3A6B"/>
          <w:sz w:val="20"/>
        </w:rPr>
        <w:t xml:space="preserve">3.  </w:t>
      </w:r>
      <w:r>
        <w:rPr>
          <w:rFonts w:ascii="Calibri" w:hAnsi="Calibri"/>
          <w:sz w:val="20"/>
        </w:rPr>
        <w:t>Build a stacked LSTM with 2 layers and hidden size 128 for binary classification: price UP (1) or DOWN (0) next day.</w:t>
      </w:r>
    </w:p>
    <w:p>
      <w:pPr>
        <w:spacing w:before="20" w:after="60"/>
        <w:ind w:left="432"/>
      </w:pPr>
      <w:r>
        <w:rPr>
          <w:rFonts w:ascii="Calibri" w:hAnsi="Calibri"/>
          <w:b/>
          <w:color w:val="1B3A6B"/>
          <w:sz w:val="20"/>
        </w:rPr>
        <w:t xml:space="preserve">4.  </w:t>
      </w:r>
      <w:r>
        <w:rPr>
          <w:rFonts w:ascii="Calibri" w:hAnsi="Calibri"/>
          <w:sz w:val="20"/>
        </w:rPr>
        <w:t>Apply dropout of 0.2 between LSTM layers. Train using BCELoss and Adam optimizer. Apply learning rate warmup for the first several epochs.</w:t>
      </w:r>
    </w:p>
    <w:p>
      <w:pPr>
        <w:spacing w:before="20" w:after="60"/>
        <w:ind w:left="432"/>
      </w:pPr>
      <w:r>
        <w:rPr>
          <w:rFonts w:ascii="Calibri" w:hAnsi="Calibri"/>
          <w:b/>
          <w:color w:val="1B3A6B"/>
          <w:sz w:val="20"/>
        </w:rPr>
        <w:t xml:space="preserve">5.  </w:t>
      </w:r>
      <w:r>
        <w:rPr>
          <w:rFonts w:ascii="Calibri" w:hAnsi="Calibri"/>
          <w:sz w:val="20"/>
        </w:rPr>
        <w:t>Use a 30-day lookback window for sequence construction. Split data strictly chronologically into train, validation, and test sets.</w:t>
      </w:r>
    </w:p>
    <w:p>
      <w:pPr>
        <w:spacing w:before="20" w:after="60"/>
        <w:ind w:left="432"/>
      </w:pPr>
      <w:r>
        <w:rPr>
          <w:rFonts w:ascii="Calibri" w:hAnsi="Calibri"/>
          <w:b/>
          <w:color w:val="1B3A6B"/>
          <w:sz w:val="20"/>
        </w:rPr>
        <w:t xml:space="preserve">6.  </w:t>
      </w:r>
      <w:r>
        <w:rPr>
          <w:rFonts w:ascii="Calibri" w:hAnsi="Calibri"/>
          <w:sz w:val="20"/>
        </w:rPr>
        <w:t>Backtest the trading strategy: compare Buy-and-Hold versus LSTM signal predictions on 1-year out-of-sample data.</w:t>
      </w:r>
    </w:p>
    <w:p>
      <w:pPr>
        <w:spacing w:before="20" w:after="60"/>
        <w:ind w:left="432"/>
      </w:pPr>
      <w:r>
        <w:rPr>
          <w:rFonts w:ascii="Calibri" w:hAnsi="Calibri"/>
          <w:b/>
          <w:color w:val="1B3A6B"/>
          <w:sz w:val="20"/>
        </w:rPr>
        <w:t xml:space="preserve">7.  </w:t>
      </w:r>
      <w:r>
        <w:rPr>
          <w:rFonts w:ascii="Calibri" w:hAnsi="Calibri"/>
          <w:sz w:val="20"/>
        </w:rPr>
        <w:t>Report: Accuracy, AUC-ROC on the test set, and Sharpe ratio of the simulated trading strategy.</w:t>
      </w:r>
    </w:p>
    <w:tbl>
      <w:tblPr>
        <w:tblW w:type="auto" w:w="0"/>
        <w:jc w:val="left"/>
        <w:tblLook w:firstColumn="1" w:firstRow="1" w:lastColumn="0" w:lastRow="0" w:noHBand="0" w:noVBand="1" w:val="04A0"/>
      </w:tblPr>
      <w:tblGrid>
        <w:gridCol w:w="9075"/>
      </w:tblGrid>
      <w:tr>
        <w:tc>
          <w:tcPr>
            <w:tcW w:type="dxa" w:w="9360"/>
            <w:shd w:val="clear" w:color="auto" w:fill="1B3A6B"/>
            <w:tcMar>
              <w:top w:w="100" w:type="dxa"/>
              <w:left w:w="100" w:type="dxa"/>
              <w:bottom w:w="100" w:type="dxa"/>
              <w:right w:w="100" w:type="dxa"/>
            </w:tcMar>
          </w:tcPr>
          <w:p>
            <w:pPr>
              <w:spacing w:before="100" w:after="100"/>
              <w:jc w:val="left"/>
            </w:pPr>
            <w:r>
              <w:rPr>
                <w:rFonts w:ascii="Calibri" w:hAnsi="Calibri"/>
                <w:b/>
                <w:color w:val="FFFFFF"/>
                <w:sz w:val="24"/>
              </w:rPr>
              <w:t>3.   NLP Objective (CSR322)  —  Units II, III, IV</w:t>
            </w:r>
          </w:p>
        </w:tc>
      </w:tr>
    </w:tbl>
    <w:p/>
    <w:p>
      <w:pPr>
        <w:spacing w:before="120" w:after="60"/>
      </w:pPr>
      <w:r>
        <w:rPr>
          <w:rFonts w:ascii="Calibri" w:hAnsi="Calibri"/>
          <w:b/>
          <w:color w:val="1B3A6B"/>
          <w:sz w:val="22"/>
        </w:rPr>
        <w:t>Financial News Sentiment Analysis with Transformer Classification</w:t>
      </w:r>
    </w:p>
    <w:p>
      <w:pPr>
        <w:spacing w:before="20" w:after="80"/>
      </w:pPr>
      <w:r>
        <w:rPr>
          <w:rFonts w:ascii="Calibri" w:hAnsi="Calibri"/>
          <w:sz w:val="20"/>
        </w:rPr>
        <w:t>Implement the following steps in the order listed:</w:t>
      </w:r>
    </w:p>
    <w:p>
      <w:pPr>
        <w:spacing w:before="20" w:after="60"/>
        <w:ind w:left="432"/>
      </w:pPr>
      <w:r>
        <w:rPr>
          <w:rFonts w:ascii="Calibri" w:hAnsi="Calibri"/>
          <w:b/>
          <w:color w:val="1B3A6B"/>
          <w:sz w:val="20"/>
        </w:rPr>
        <w:t xml:space="preserve">1.  </w:t>
      </w:r>
      <w:r>
        <w:rPr>
          <w:rFonts w:ascii="Calibri" w:hAnsi="Calibri"/>
          <w:sz w:val="20"/>
        </w:rPr>
        <w:t>Use the Financial PhraseBank dataset, available on HuggingFace as takala/financial_phrasebank with the sentences_allagree split. Labels: positive, neutral, negative.</w:t>
      </w:r>
    </w:p>
    <w:p>
      <w:pPr>
        <w:spacing w:before="20" w:after="60"/>
        <w:ind w:left="432"/>
      </w:pPr>
      <w:r>
        <w:rPr>
          <w:rFonts w:ascii="Calibri" w:hAnsi="Calibri"/>
          <w:b/>
          <w:color w:val="1B3A6B"/>
          <w:sz w:val="20"/>
        </w:rPr>
        <w:t xml:space="preserve">2.  </w:t>
      </w:r>
      <w:r>
        <w:rPr>
          <w:rFonts w:ascii="Calibri" w:hAnsi="Calibri"/>
          <w:sz w:val="20"/>
        </w:rPr>
        <w:t>Apply tokenization and POS tagging. Analyse linguistic differences between bullish and bearish headlines using spaCy. Report adjective and verb density per sentiment class.</w:t>
      </w:r>
    </w:p>
    <w:p>
      <w:pPr>
        <w:spacing w:before="20" w:after="60"/>
        <w:ind w:left="432"/>
      </w:pPr>
      <w:r>
        <w:rPr>
          <w:rFonts w:ascii="Calibri" w:hAnsi="Calibri"/>
          <w:b/>
          <w:color w:val="1B3A6B"/>
          <w:sz w:val="20"/>
        </w:rPr>
        <w:t xml:space="preserve">3.  </w:t>
      </w:r>
      <w:r>
        <w:rPr>
          <w:rFonts w:ascii="Calibri" w:hAnsi="Calibri"/>
          <w:sz w:val="20"/>
        </w:rPr>
        <w:t>Fine-tune ProsusAI/finbert (a financial-domain BERT model) for 3-class sentiment classification: positive, negative, neutral. Training: 3 epochs, lr=2e-5, batch size 16.</w:t>
      </w:r>
    </w:p>
    <w:p>
      <w:pPr>
        <w:spacing w:before="20" w:after="60"/>
        <w:ind w:left="432"/>
      </w:pPr>
      <w:r>
        <w:rPr>
          <w:rFonts w:ascii="Calibri" w:hAnsi="Calibri"/>
          <w:b/>
          <w:color w:val="1B3A6B"/>
          <w:sz w:val="20"/>
        </w:rPr>
        <w:t xml:space="preserve">4.  </w:t>
      </w:r>
      <w:r>
        <w:rPr>
          <w:rFonts w:ascii="Calibri" w:hAnsi="Calibri"/>
          <w:sz w:val="20"/>
        </w:rPr>
        <w:t>Aggregate fine-tuned sentiment scores to a daily level per stock ticker and align with the corresponding price data by date.</w:t>
      </w:r>
    </w:p>
    <w:p>
      <w:pPr>
        <w:spacing w:before="20" w:after="60"/>
        <w:ind w:left="432"/>
      </w:pPr>
      <w:r>
        <w:rPr>
          <w:rFonts w:ascii="Calibri" w:hAnsi="Calibri"/>
          <w:b/>
          <w:color w:val="1B3A6B"/>
          <w:sz w:val="20"/>
        </w:rPr>
        <w:t xml:space="preserve">5.  </w:t>
      </w:r>
      <w:r>
        <w:rPr>
          <w:rFonts w:ascii="Calibri" w:hAnsi="Calibri"/>
          <w:sz w:val="20"/>
        </w:rPr>
        <w:t>Fuse the daily sentiment score with the LSTM price features to build a combined Fusion Model.</w:t>
      </w:r>
    </w:p>
    <w:p>
      <w:pPr>
        <w:spacing w:before="20" w:after="60"/>
        <w:ind w:left="432"/>
      </w:pPr>
      <w:r>
        <w:rPr>
          <w:rFonts w:ascii="Calibri" w:hAnsi="Calibri"/>
          <w:b/>
          <w:color w:val="1B3A6B"/>
          <w:sz w:val="20"/>
        </w:rPr>
        <w:t xml:space="preserve">6.  </w:t>
      </w:r>
      <w:r>
        <w:rPr>
          <w:rFonts w:ascii="Calibri" w:hAnsi="Calibri"/>
          <w:sz w:val="20"/>
        </w:rPr>
        <w:t>Compare all three experiment variants: LSTM price-only, sentiment-only, and LSTM with sentiment fusion. Report accuracy improvement.</w:t>
      </w:r>
    </w:p>
    <w:p>
      <w:pPr>
        <w:spacing w:before="20" w:after="60"/>
        <w:ind w:left="432"/>
      </w:pPr>
      <w:r>
        <w:rPr>
          <w:rFonts w:ascii="Calibri" w:hAnsi="Calibri"/>
          <w:b/>
          <w:color w:val="1B3A6B"/>
          <w:sz w:val="20"/>
        </w:rPr>
        <w:t xml:space="preserve">7.  </w:t>
      </w:r>
      <w:r>
        <w:rPr>
          <w:rFonts w:ascii="Calibri" w:hAnsi="Calibri"/>
          <w:sz w:val="20"/>
        </w:rPr>
        <w:t>Present a correlation heatmap between daily sentiment score and 1-day price movement for all 5 stocks.</w:t>
      </w:r>
    </w:p>
    <w:tbl>
      <w:tblPr>
        <w:tblW w:type="auto" w:w="0"/>
        <w:jc w:val="left"/>
        <w:tblLook w:firstColumn="1" w:firstRow="1" w:lastColumn="0" w:lastRow="0" w:noHBand="0" w:noVBand="1" w:val="04A0"/>
      </w:tblPr>
      <w:tblGrid>
        <w:gridCol w:w="9075"/>
      </w:tblGrid>
      <w:tr>
        <w:tc>
          <w:tcPr>
            <w:tcW w:type="dxa" w:w="9360"/>
            <w:shd w:val="clear" w:color="auto" w:fill="1B3A6B"/>
            <w:tcMar>
              <w:top w:w="100" w:type="dxa"/>
              <w:left w:w="100" w:type="dxa"/>
              <w:bottom w:w="100" w:type="dxa"/>
              <w:right w:w="100" w:type="dxa"/>
            </w:tcMar>
          </w:tcPr>
          <w:p>
            <w:pPr>
              <w:spacing w:before="100" w:after="100"/>
              <w:jc w:val="left"/>
            </w:pPr>
            <w:r>
              <w:rPr>
                <w:rFonts w:ascii="Calibri" w:hAnsi="Calibri"/>
                <w:b/>
                <w:color w:val="FFFFFF"/>
                <w:sz w:val="24"/>
              </w:rPr>
              <w:t>4.   Integrated System Requirements</w:t>
            </w:r>
          </w:p>
        </w:tc>
      </w:tr>
    </w:tbl>
    <w:p/>
    <w:p>
      <w:pPr>
        <w:spacing w:before="20" w:after="80"/>
      </w:pPr>
      <w:r>
        <w:rPr>
          <w:rFonts w:ascii="Calibri" w:hAnsi="Calibri"/>
          <w:sz w:val="20"/>
        </w:rPr>
        <w:t>The two objectives must function as one unified pipeline. The following integration points are mandatory:</w:t>
      </w:r>
    </w:p>
    <w:p>
      <w:pPr>
        <w:pStyle w:val="ListBullet"/>
        <w:spacing w:before="20" w:after="40"/>
        <w:ind w:left="432"/>
      </w:pPr>
      <w:r>
        <w:rPr>
          <w:rFonts w:ascii="Calibri" w:hAnsi="Calibri"/>
          <w:sz w:val="20"/>
        </w:rPr>
        <w:t>The LSTM price model and the FinBERT sentiment model must share a common date-aligned dataset.</w:t>
      </w:r>
    </w:p>
    <w:p>
      <w:pPr>
        <w:pStyle w:val="ListBullet"/>
        <w:spacing w:before="20" w:after="40"/>
        <w:ind w:left="432"/>
      </w:pPr>
      <w:r>
        <w:rPr>
          <w:rFonts w:ascii="Calibri" w:hAnsi="Calibri"/>
          <w:sz w:val="20"/>
        </w:rPr>
        <w:t>The fusion stage must incorporate sentiment features into the LSTM input pipeline.</w:t>
      </w:r>
    </w:p>
    <w:p>
      <w:pPr>
        <w:pStyle w:val="ListBullet"/>
        <w:spacing w:before="20" w:after="40"/>
        <w:ind w:left="432"/>
      </w:pPr>
      <w:r>
        <w:rPr>
          <w:rFonts w:ascii="Calibri" w:hAnsi="Calibri"/>
          <w:sz w:val="20"/>
        </w:rPr>
        <w:t>Results must include a side-by-side comparison of all three experiment variants.</w:t>
      </w:r>
    </w:p>
    <w:p>
      <w:pPr>
        <w:pStyle w:val="ListBullet"/>
        <w:spacing w:before="20" w:after="40"/>
        <w:ind w:left="432"/>
      </w:pPr>
      <w:r>
        <w:rPr>
          <w:rFonts w:ascii="Calibri" w:hAnsi="Calibri"/>
          <w:sz w:val="20"/>
        </w:rPr>
        <w:t>A working demo interface (Streamlit recommended) or clear notebook walkthrough must show the end-to-end pipeline.</w:t>
      </w:r>
    </w:p>
    <w:tbl>
      <w:tblPr>
        <w:tblW w:type="auto" w:w="0"/>
        <w:jc w:val="left"/>
        <w:tblLook w:firstColumn="1" w:firstRow="1" w:lastColumn="0" w:lastRow="0" w:noHBand="0" w:noVBand="1" w:val="04A0"/>
      </w:tblPr>
      <w:tblGrid>
        <w:gridCol w:w="9075"/>
      </w:tblGrid>
      <w:tr>
        <w:tc>
          <w:tcPr>
            <w:tcW w:type="dxa" w:w="9360"/>
            <w:shd w:val="clear" w:color="auto" w:fill="1B3A6B"/>
            <w:tcMar>
              <w:top w:w="100" w:type="dxa"/>
              <w:left w:w="100" w:type="dxa"/>
              <w:bottom w:w="100" w:type="dxa"/>
              <w:right w:w="100" w:type="dxa"/>
            </w:tcMar>
          </w:tcPr>
          <w:p>
            <w:pPr>
              <w:spacing w:before="100" w:after="100"/>
              <w:jc w:val="left"/>
            </w:pPr>
            <w:r>
              <w:rPr>
                <w:rFonts w:ascii="Calibri" w:hAnsi="Calibri"/>
                <w:b/>
                <w:color w:val="FFFFFF"/>
                <w:sz w:val="24"/>
              </w:rPr>
              <w:t>5.   Datasets</w:t>
            </w:r>
          </w:p>
        </w:tc>
      </w:tr>
    </w:tbl>
    <w:p/>
    <w:tbl>
      <w:tblPr>
        <w:tblStyle w:val="TableGrid"/>
        <w:tblW w:type="auto" w:w="0"/>
        <w:jc w:val="left"/>
        <w:tblLook w:firstColumn="1" w:firstRow="1" w:lastColumn="0" w:lastRow="0" w:noHBand="0" w:noVBand="1" w:val="04A0"/>
      </w:tblPr>
      <w:tblGrid>
        <w:gridCol w:w="3025"/>
        <w:gridCol w:w="3025"/>
        <w:gridCol w:w="3025"/>
      </w:tblGrid>
      <w:tr>
        <w:tc>
          <w:tcPr>
            <w:tcW w:type="dxa" w:w="3025"/>
            <w:shd w:val="clear" w:color="auto" w:fill="1B3A6B"/>
          </w:tcPr>
          <w:p>
            <w:pPr>
              <w:spacing w:before="40" w:after="40"/>
              <w:jc w:val="center"/>
            </w:pPr>
            <w:r/>
            <w:r>
              <w:rPr>
                <w:rFonts w:ascii="Calibri" w:hAnsi="Calibri"/>
                <w:b/>
                <w:i w:val="0"/>
                <w:color w:val="FFFFFF"/>
                <w:sz w:val="20"/>
              </w:rPr>
              <w:t>Dataset</w:t>
            </w:r>
          </w:p>
        </w:tc>
        <w:tc>
          <w:tcPr>
            <w:tcW w:type="dxa" w:w="3025"/>
            <w:shd w:val="clear" w:color="auto" w:fill="1B3A6B"/>
          </w:tcPr>
          <w:p>
            <w:pPr>
              <w:spacing w:before="40" w:after="40"/>
              <w:jc w:val="center"/>
            </w:pPr>
            <w:r/>
            <w:r>
              <w:rPr>
                <w:rFonts w:ascii="Calibri" w:hAnsi="Calibri"/>
                <w:b/>
                <w:i w:val="0"/>
                <w:color w:val="FFFFFF"/>
                <w:sz w:val="20"/>
              </w:rPr>
              <w:t>Source / Access</w:t>
            </w:r>
          </w:p>
        </w:tc>
        <w:tc>
          <w:tcPr>
            <w:tcW w:type="dxa" w:w="3025"/>
            <w:shd w:val="clear" w:color="auto" w:fill="1B3A6B"/>
          </w:tcPr>
          <w:p>
            <w:pPr>
              <w:spacing w:before="40" w:after="40"/>
              <w:jc w:val="center"/>
            </w:pPr>
            <w:r/>
            <w:r>
              <w:rPr>
                <w:rFonts w:ascii="Calibri" w:hAnsi="Calibri"/>
                <w:b/>
                <w:i w:val="0"/>
                <w:color w:val="FFFFFF"/>
                <w:sz w:val="20"/>
              </w:rPr>
              <w:t>Used For</w:t>
            </w:r>
          </w:p>
        </w:tc>
      </w:tr>
      <w:tr>
        <w:tc>
          <w:tcPr>
            <w:tcW w:type="dxa" w:w="3025"/>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OHLCV Stock Data (5 tickers, 5 years)</w:t>
            </w:r>
          </w:p>
        </w:tc>
        <w:tc>
          <w:tcPr>
            <w:tcW w:type="dxa" w:w="3025"/>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yfinance Python library (free, no login required)</w:t>
            </w:r>
          </w:p>
        </w:tc>
        <w:tc>
          <w:tcPr>
            <w:tcW w:type="dxa" w:w="3025"/>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LSTM price model training and backtesting</w:t>
            </w:r>
          </w:p>
        </w:tc>
      </w:tr>
      <w:tr>
        <w:tc>
          <w:tcPr>
            <w:tcW w:type="dxa" w:w="3025"/>
            <w:shd w:val="clear" w:color="auto" w:fill="F0F6FB"/>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Financial PhraseBank</w:t>
            </w:r>
          </w:p>
        </w:tc>
        <w:tc>
          <w:tcPr>
            <w:tcW w:type="dxa" w:w="3025"/>
            <w:shd w:val="clear" w:color="auto" w:fill="F0F6FB"/>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HuggingFace: takala/financial_phrasebank — sentences_allagree split</w:t>
            </w:r>
          </w:p>
        </w:tc>
        <w:tc>
          <w:tcPr>
            <w:tcW w:type="dxa" w:w="3025"/>
            <w:shd w:val="clear" w:color="auto" w:fill="F0F6FB"/>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FinBERT fine-tuning and sentiment classification</w:t>
            </w:r>
          </w:p>
        </w:tc>
      </w:tr>
    </w:tbl>
    <w:p/>
    <w:tbl>
      <w:tblPr>
        <w:tblW w:type="auto" w:w="0"/>
        <w:jc w:val="left"/>
        <w:tblLook w:firstColumn="1" w:firstRow="1" w:lastColumn="0" w:lastRow="0" w:noHBand="0" w:noVBand="1" w:val="04A0"/>
      </w:tblPr>
      <w:tblGrid>
        <w:gridCol w:w="9075"/>
      </w:tblGrid>
      <w:tr>
        <w:tc>
          <w:tcPr>
            <w:tcW w:type="dxa" w:w="9360"/>
            <w:shd w:val="clear" w:color="auto" w:fill="1B3A6B"/>
            <w:tcMar>
              <w:top w:w="100" w:type="dxa"/>
              <w:left w:w="100" w:type="dxa"/>
              <w:bottom w:w="100" w:type="dxa"/>
              <w:right w:w="100" w:type="dxa"/>
            </w:tcMar>
          </w:tcPr>
          <w:p>
            <w:pPr>
              <w:spacing w:before="100" w:after="100"/>
              <w:jc w:val="left"/>
            </w:pPr>
            <w:r>
              <w:rPr>
                <w:rFonts w:ascii="Calibri" w:hAnsi="Calibri"/>
                <w:b/>
                <w:color w:val="FFFFFF"/>
                <w:sz w:val="24"/>
              </w:rPr>
              <w:t>6.   Technology Stack</w:t>
            </w:r>
          </w:p>
        </w:tc>
      </w:tr>
    </w:tbl>
    <w:p/>
    <w:tbl>
      <w:tblPr>
        <w:tblStyle w:val="TableGrid"/>
        <w:tblW w:type="auto" w:w="0"/>
        <w:jc w:val="left"/>
        <w:tblLook w:firstColumn="1" w:firstRow="1" w:lastColumn="0" w:lastRow="0" w:noHBand="0" w:noVBand="1" w:val="04A0"/>
      </w:tblPr>
      <w:tblGrid>
        <w:gridCol w:w="4537"/>
        <w:gridCol w:w="4537"/>
      </w:tblGrid>
      <w:tr>
        <w:tc>
          <w:tcPr>
            <w:tcW w:type="dxa" w:w="4537"/>
            <w:shd w:val="clear" w:color="auto" w:fill="1B3A6B"/>
          </w:tcPr>
          <w:p>
            <w:pPr>
              <w:spacing w:before="40" w:after="40"/>
              <w:jc w:val="center"/>
            </w:pPr>
            <w:r/>
            <w:r>
              <w:rPr>
                <w:rFonts w:ascii="Calibri" w:hAnsi="Calibri"/>
                <w:b/>
                <w:i w:val="0"/>
                <w:color w:val="FFFFFF"/>
                <w:sz w:val="20"/>
              </w:rPr>
              <w:t>Layer</w:t>
            </w:r>
          </w:p>
        </w:tc>
        <w:tc>
          <w:tcPr>
            <w:tcW w:type="dxa" w:w="4537"/>
            <w:shd w:val="clear" w:color="auto" w:fill="1B3A6B"/>
          </w:tcPr>
          <w:p>
            <w:pPr>
              <w:spacing w:before="40" w:after="40"/>
              <w:jc w:val="center"/>
            </w:pPr>
            <w:r/>
            <w:r>
              <w:rPr>
                <w:rFonts w:ascii="Calibri" w:hAnsi="Calibri"/>
                <w:b/>
                <w:i w:val="0"/>
                <w:color w:val="FFFFFF"/>
                <w:sz w:val="20"/>
              </w:rPr>
              <w:t>Libraries / Tools</w:t>
            </w:r>
          </w:p>
        </w:tc>
      </w:tr>
      <w:tr>
        <w:tc>
          <w:tcPr>
            <w:tcW w:type="dxa" w:w="4537"/>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Data Ingestion</w:t>
            </w:r>
          </w:p>
        </w:tc>
        <w:tc>
          <w:tcPr>
            <w:tcW w:type="dxa" w:w="4537"/>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yfinance, pandas</w:t>
            </w:r>
          </w:p>
        </w:tc>
      </w:tr>
      <w:tr>
        <w:tc>
          <w:tcPr>
            <w:tcW w:type="dxa" w:w="4537"/>
            <w:shd w:val="clear" w:color="auto" w:fill="F0F6FB"/>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Feature Engineering</w:t>
            </w:r>
          </w:p>
        </w:tc>
        <w:tc>
          <w:tcPr>
            <w:tcW w:type="dxa" w:w="4537"/>
            <w:shd w:val="clear" w:color="auto" w:fill="F0F6FB"/>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pandas, numpy, pandas-ta</w:t>
            </w:r>
          </w:p>
        </w:tc>
      </w:tr>
      <w:tr>
        <w:tc>
          <w:tcPr>
            <w:tcW w:type="dxa" w:w="4537"/>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Deep Learning</w:t>
            </w:r>
          </w:p>
        </w:tc>
        <w:tc>
          <w:tcPr>
            <w:tcW w:type="dxa" w:w="4537"/>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PyTorch (mandatory)</w:t>
            </w:r>
          </w:p>
        </w:tc>
      </w:tr>
      <w:tr>
        <w:tc>
          <w:tcPr>
            <w:tcW w:type="dxa" w:w="4537"/>
            <w:shd w:val="clear" w:color="auto" w:fill="F0F6FB"/>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NLP and Transformers</w:t>
            </w:r>
          </w:p>
        </w:tc>
        <w:tc>
          <w:tcPr>
            <w:tcW w:type="dxa" w:w="4537"/>
            <w:shd w:val="clear" w:color="auto" w:fill="F0F6FB"/>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Hugging Face Transformers, ProsusAI/finbert (mandatory)</w:t>
            </w:r>
          </w:p>
        </w:tc>
      </w:tr>
      <w:tr>
        <w:tc>
          <w:tcPr>
            <w:tcW w:type="dxa" w:w="4537"/>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NLP Preprocessing</w:t>
            </w:r>
          </w:p>
        </w:tc>
        <w:tc>
          <w:tcPr>
            <w:tcW w:type="dxa" w:w="4537"/>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spaCy, NLTK tokenizer</w:t>
            </w:r>
          </w:p>
        </w:tc>
      </w:tr>
      <w:tr>
        <w:tc>
          <w:tcPr>
            <w:tcW w:type="dxa" w:w="4537"/>
            <w:shd w:val="clear" w:color="auto" w:fill="F0F6FB"/>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Evaluation</w:t>
            </w:r>
          </w:p>
        </w:tc>
        <w:tc>
          <w:tcPr>
            <w:tcW w:type="dxa" w:w="4537"/>
            <w:shd w:val="clear" w:color="auto" w:fill="F0F6FB"/>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scikit-learn, matplotlib, seaborn</w:t>
            </w:r>
          </w:p>
        </w:tc>
      </w:tr>
      <w:tr>
        <w:tc>
          <w:tcPr>
            <w:tcW w:type="dxa" w:w="4537"/>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Demo Interface</w:t>
            </w:r>
          </w:p>
        </w:tc>
        <w:tc>
          <w:tcPr>
            <w:tcW w:type="dxa" w:w="4537"/>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Streamlit (recommended) with Plotly charts</w:t>
            </w:r>
          </w:p>
        </w:tc>
      </w:tr>
      <w:tr>
        <w:tc>
          <w:tcPr>
            <w:tcW w:type="dxa" w:w="4537"/>
            <w:shd w:val="clear" w:color="auto" w:fill="F0F6FB"/>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Version Control</w:t>
            </w:r>
          </w:p>
        </w:tc>
        <w:tc>
          <w:tcPr>
            <w:tcW w:type="dxa" w:w="4537"/>
            <w:shd w:val="clear" w:color="auto" w:fill="F0F6FB"/>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GitHub or GitLab</w:t>
            </w:r>
          </w:p>
        </w:tc>
      </w:tr>
      <w:tr>
        <w:tc>
          <w:tcPr>
            <w:tcW w:type="dxa" w:w="4537"/>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Training Environment</w:t>
            </w:r>
          </w:p>
        </w:tc>
        <w:tc>
          <w:tcPr>
            <w:tcW w:type="dxa" w:w="4537"/>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Google Colab (free tier GPU) or local Python environment</w:t>
            </w:r>
          </w:p>
        </w:tc>
      </w:tr>
    </w:tbl>
    <w:p/>
    <w:tbl>
      <w:tblPr>
        <w:tblW w:type="auto" w:w="0"/>
        <w:jc w:val="left"/>
        <w:tblLook w:firstColumn="1" w:firstRow="1" w:lastColumn="0" w:lastRow="0" w:noHBand="0" w:noVBand="1" w:val="04A0"/>
      </w:tblPr>
      <w:tblGrid>
        <w:gridCol w:w="9075"/>
      </w:tblGrid>
      <w:tr>
        <w:tc>
          <w:tcPr>
            <w:tcW w:type="dxa" w:w="9360"/>
            <w:shd w:val="clear" w:color="auto" w:fill="1B3A6B"/>
            <w:tcMar>
              <w:top w:w="100" w:type="dxa"/>
              <w:left w:w="100" w:type="dxa"/>
              <w:bottom w:w="100" w:type="dxa"/>
              <w:right w:w="100" w:type="dxa"/>
            </w:tcMar>
          </w:tcPr>
          <w:p>
            <w:pPr>
              <w:spacing w:before="100" w:after="100"/>
              <w:jc w:val="left"/>
            </w:pPr>
            <w:r>
              <w:rPr>
                <w:rFonts w:ascii="Calibri" w:hAnsi="Calibri"/>
                <w:b/>
                <w:color w:val="FFFFFF"/>
                <w:sz w:val="24"/>
              </w:rPr>
              <w:t>7.   Evaluation Metrics</w:t>
            </w:r>
          </w:p>
        </w:tc>
      </w:tr>
    </w:tbl>
    <w:p/>
    <w:p>
      <w:pPr>
        <w:spacing w:before="120" w:after="60"/>
      </w:pPr>
      <w:r>
        <w:rPr>
          <w:rFonts w:ascii="Calibri" w:hAnsi="Calibri"/>
          <w:b/>
          <w:color w:val="1B3A6B"/>
          <w:sz w:val="22"/>
        </w:rPr>
        <w:t>Deep Learning (CSR311) Metrics</w:t>
      </w:r>
    </w:p>
    <w:p>
      <w:pPr>
        <w:pStyle w:val="ListBullet"/>
        <w:spacing w:before="20" w:after="40"/>
        <w:ind w:left="432"/>
      </w:pPr>
      <w:r>
        <w:rPr>
          <w:rFonts w:ascii="Calibri" w:hAnsi="Calibri"/>
          <w:sz w:val="20"/>
        </w:rPr>
        <w:t>Classification Accuracy on the held-out test set</w:t>
      </w:r>
    </w:p>
    <w:p>
      <w:pPr>
        <w:pStyle w:val="ListBullet"/>
        <w:spacing w:before="20" w:after="40"/>
        <w:ind w:left="432"/>
      </w:pPr>
      <w:r>
        <w:rPr>
          <w:rFonts w:ascii="Calibri" w:hAnsi="Calibri"/>
          <w:sz w:val="20"/>
        </w:rPr>
        <w:t>AUC-ROC score</w:t>
      </w:r>
    </w:p>
    <w:p>
      <w:pPr>
        <w:pStyle w:val="ListBullet"/>
        <w:spacing w:before="20" w:after="40"/>
        <w:ind w:left="432"/>
      </w:pPr>
      <w:r>
        <w:rPr>
          <w:rFonts w:ascii="Calibri" w:hAnsi="Calibri"/>
          <w:sz w:val="20"/>
        </w:rPr>
        <w:t>Sharpe Ratio of simulated trading strategy versus Buy-and-Hold</w:t>
      </w:r>
    </w:p>
    <w:p>
      <w:pPr>
        <w:spacing w:before="120" w:after="60"/>
      </w:pPr>
      <w:r>
        <w:rPr>
          <w:rFonts w:ascii="Calibri" w:hAnsi="Calibri"/>
          <w:b/>
          <w:color w:val="1B3A6B"/>
          <w:sz w:val="22"/>
        </w:rPr>
        <w:t>NLP (CSR322) Metrics</w:t>
      </w:r>
    </w:p>
    <w:p>
      <w:pPr>
        <w:pStyle w:val="ListBullet"/>
        <w:spacing w:before="20" w:after="40"/>
        <w:ind w:left="432"/>
      </w:pPr>
      <w:r>
        <w:rPr>
          <w:rFonts w:ascii="Calibri" w:hAnsi="Calibri"/>
          <w:sz w:val="20"/>
        </w:rPr>
        <w:t>Accuracy, Precision, Recall, and F1 per sentiment class</w:t>
      </w:r>
    </w:p>
    <w:p>
      <w:pPr>
        <w:pStyle w:val="ListBullet"/>
        <w:spacing w:before="20" w:after="40"/>
        <w:ind w:left="432"/>
      </w:pPr>
      <w:r>
        <w:rPr>
          <w:rFonts w:ascii="Calibri" w:hAnsi="Calibri"/>
          <w:sz w:val="20"/>
        </w:rPr>
        <w:t>POS tag density analysis comparing adjective and verb ratios across sentiment classes</w:t>
      </w:r>
    </w:p>
    <w:p>
      <w:pPr>
        <w:pStyle w:val="ListBullet"/>
        <w:spacing w:before="20" w:after="40"/>
        <w:ind w:left="432"/>
      </w:pPr>
      <w:r>
        <w:rPr>
          <w:rFonts w:ascii="Calibri" w:hAnsi="Calibri"/>
          <w:sz w:val="20"/>
        </w:rPr>
        <w:t>Correlation heatmap between daily sentiment scores and 1-day price movement</w:t>
      </w:r>
    </w:p>
    <w:p>
      <w:pPr>
        <w:spacing w:before="120" w:after="60"/>
      </w:pPr>
      <w:r>
        <w:rPr>
          <w:rFonts w:ascii="Calibri" w:hAnsi="Calibri"/>
          <w:b/>
          <w:color w:val="1B3A6B"/>
          <w:sz w:val="22"/>
        </w:rPr>
        <w:t>Fusion Model Metrics</w:t>
      </w:r>
    </w:p>
    <w:p>
      <w:pPr>
        <w:pStyle w:val="ListBullet"/>
        <w:spacing w:before="20" w:after="40"/>
        <w:ind w:left="432"/>
      </w:pPr>
      <w:r>
        <w:rPr>
          <w:rFonts w:ascii="Calibri" w:hAnsi="Calibri"/>
          <w:sz w:val="20"/>
        </w:rPr>
        <w:t>Accuracy and AUC-ROC for all three experiments: price-only, sentiment-only, fusion</w:t>
      </w:r>
    </w:p>
    <w:p>
      <w:pPr>
        <w:pStyle w:val="ListBullet"/>
        <w:spacing w:before="20" w:after="40"/>
        <w:ind w:left="432"/>
      </w:pPr>
      <w:r>
        <w:rPr>
          <w:rFonts w:ascii="Calibri" w:hAnsi="Calibri"/>
          <w:sz w:val="20"/>
        </w:rPr>
        <w:t>Comparative bar chart showing all experiment results side by side</w:t>
      </w:r>
    </w:p>
    <w:p>
      <w:pPr>
        <w:pStyle w:val="ListBullet"/>
        <w:spacing w:before="20" w:after="40"/>
        <w:ind w:left="432"/>
      </w:pPr>
      <w:r>
        <w:rPr>
          <w:rFonts w:ascii="Calibri" w:hAnsi="Calibri"/>
          <w:sz w:val="20"/>
        </w:rPr>
        <w:t>Backtesting equity curve: strategy cumulative return versus Buy-and-Hold</w:t>
      </w:r>
    </w:p>
    <w:tbl>
      <w:tblPr>
        <w:tblW w:type="auto" w:w="0"/>
        <w:jc w:val="left"/>
        <w:tblLook w:firstColumn="1" w:firstRow="1" w:lastColumn="0" w:lastRow="0" w:noHBand="0" w:noVBand="1" w:val="04A0"/>
      </w:tblPr>
      <w:tblGrid>
        <w:gridCol w:w="9075"/>
      </w:tblGrid>
      <w:tr>
        <w:tc>
          <w:tcPr>
            <w:tcW w:type="dxa" w:w="9360"/>
            <w:shd w:val="clear" w:color="auto" w:fill="1B3A6B"/>
            <w:tcMar>
              <w:top w:w="100" w:type="dxa"/>
              <w:left w:w="100" w:type="dxa"/>
              <w:bottom w:w="100" w:type="dxa"/>
              <w:right w:w="100" w:type="dxa"/>
            </w:tcMar>
          </w:tcPr>
          <w:p>
            <w:pPr>
              <w:spacing w:before="100" w:after="100"/>
              <w:jc w:val="left"/>
            </w:pPr>
            <w:r>
              <w:rPr>
                <w:rFonts w:ascii="Calibri" w:hAnsi="Calibri"/>
                <w:b/>
                <w:color w:val="FFFFFF"/>
                <w:sz w:val="24"/>
              </w:rPr>
              <w:t>8.   Expected Target Performance</w:t>
            </w:r>
          </w:p>
        </w:tc>
      </w:tr>
    </w:tbl>
    <w:p/>
    <w:tbl>
      <w:tblPr>
        <w:tblStyle w:val="TableGrid"/>
        <w:tblW w:type="auto" w:w="0"/>
        <w:jc w:val="left"/>
        <w:tblLook w:firstColumn="1" w:firstRow="1" w:lastColumn="0" w:lastRow="0" w:noHBand="0" w:noVBand="1" w:val="04A0"/>
      </w:tblPr>
      <w:tblGrid>
        <w:gridCol w:w="2269"/>
        <w:gridCol w:w="2269"/>
        <w:gridCol w:w="2269"/>
        <w:gridCol w:w="2269"/>
      </w:tblGrid>
      <w:tr>
        <w:tc>
          <w:tcPr>
            <w:tcW w:type="dxa" w:w="2269"/>
            <w:shd w:val="clear" w:color="auto" w:fill="1B3A6B"/>
          </w:tcPr>
          <w:p>
            <w:pPr>
              <w:spacing w:before="40" w:after="40"/>
              <w:jc w:val="center"/>
            </w:pPr>
            <w:r/>
            <w:r>
              <w:rPr>
                <w:rFonts w:ascii="Calibri" w:hAnsi="Calibri"/>
                <w:b/>
                <w:i w:val="0"/>
                <w:color w:val="FFFFFF"/>
                <w:sz w:val="20"/>
              </w:rPr>
              <w:t>Model Variant</w:t>
            </w:r>
          </w:p>
        </w:tc>
        <w:tc>
          <w:tcPr>
            <w:tcW w:type="dxa" w:w="2269"/>
            <w:shd w:val="clear" w:color="auto" w:fill="1B3A6B"/>
          </w:tcPr>
          <w:p>
            <w:pPr>
              <w:spacing w:before="40" w:after="40"/>
              <w:jc w:val="center"/>
            </w:pPr>
            <w:r/>
            <w:r>
              <w:rPr>
                <w:rFonts w:ascii="Calibri" w:hAnsi="Calibri"/>
                <w:b/>
                <w:i w:val="0"/>
                <w:color w:val="FFFFFF"/>
                <w:sz w:val="20"/>
              </w:rPr>
              <w:t>Accuracy</w:t>
            </w:r>
          </w:p>
        </w:tc>
        <w:tc>
          <w:tcPr>
            <w:tcW w:type="dxa" w:w="2269"/>
            <w:shd w:val="clear" w:color="auto" w:fill="1B3A6B"/>
          </w:tcPr>
          <w:p>
            <w:pPr>
              <w:spacing w:before="40" w:after="40"/>
              <w:jc w:val="center"/>
            </w:pPr>
            <w:r/>
            <w:r>
              <w:rPr>
                <w:rFonts w:ascii="Calibri" w:hAnsi="Calibri"/>
                <w:b/>
                <w:i w:val="0"/>
                <w:color w:val="FFFFFF"/>
                <w:sz w:val="20"/>
              </w:rPr>
              <w:t>AUC-ROC</w:t>
            </w:r>
          </w:p>
        </w:tc>
        <w:tc>
          <w:tcPr>
            <w:tcW w:type="dxa" w:w="2269"/>
            <w:shd w:val="clear" w:color="auto" w:fill="1B3A6B"/>
          </w:tcPr>
          <w:p>
            <w:pPr>
              <w:spacing w:before="40" w:after="40"/>
              <w:jc w:val="center"/>
            </w:pPr>
            <w:r/>
            <w:r>
              <w:rPr>
                <w:rFonts w:ascii="Calibri" w:hAnsi="Calibri"/>
                <w:b/>
                <w:i w:val="0"/>
                <w:color w:val="FFFFFF"/>
                <w:sz w:val="20"/>
              </w:rPr>
              <w:t>Notes</w:t>
            </w:r>
          </w:p>
        </w:tc>
      </w:tr>
      <w:tr>
        <w:tc>
          <w:tcPr>
            <w:tcW w:type="dxa" w:w="2269"/>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Buy-and-Hold Baseline</w:t>
            </w:r>
          </w:p>
        </w:tc>
        <w:tc>
          <w:tcPr>
            <w:tcW w:type="dxa" w:w="2269"/>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~53%</w:t>
            </w:r>
          </w:p>
        </w:tc>
        <w:tc>
          <w:tcPr>
            <w:tcW w:type="dxa" w:w="2269"/>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w:t>
            </w:r>
          </w:p>
        </w:tc>
        <w:tc>
          <w:tcPr>
            <w:tcW w:type="dxa" w:w="2269"/>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Random directional benchmark</w:t>
            </w:r>
          </w:p>
        </w:tc>
      </w:tr>
      <w:tr>
        <w:tc>
          <w:tcPr>
            <w:tcW w:type="dxa" w:w="2269"/>
            <w:shd w:val="clear" w:color="auto" w:fill="F0F6FB"/>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LSTM — Price Features Only</w:t>
            </w:r>
          </w:p>
        </w:tc>
        <w:tc>
          <w:tcPr>
            <w:tcW w:type="dxa" w:w="2269"/>
            <w:shd w:val="clear" w:color="auto" w:fill="F0F6FB"/>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~58–60%</w:t>
            </w:r>
          </w:p>
        </w:tc>
        <w:tc>
          <w:tcPr>
            <w:tcW w:type="dxa" w:w="2269"/>
            <w:shd w:val="clear" w:color="auto" w:fill="F0F6FB"/>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&gt;0.60</w:t>
            </w:r>
          </w:p>
        </w:tc>
        <w:tc>
          <w:tcPr>
            <w:tcW w:type="dxa" w:w="2269"/>
            <w:shd w:val="clear" w:color="auto" w:fill="F0F6FB"/>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Trained on technical indicators</w:t>
            </w:r>
          </w:p>
        </w:tc>
      </w:tr>
      <w:tr>
        <w:tc>
          <w:tcPr>
            <w:tcW w:type="dxa" w:w="2269"/>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FinBERT — Sentiment Only</w:t>
            </w:r>
          </w:p>
        </w:tc>
        <w:tc>
          <w:tcPr>
            <w:tcW w:type="dxa" w:w="2269"/>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~55–57%</w:t>
            </w:r>
          </w:p>
        </w:tc>
        <w:tc>
          <w:tcPr>
            <w:tcW w:type="dxa" w:w="2269"/>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&gt;0.58</w:t>
            </w:r>
          </w:p>
        </w:tc>
        <w:tc>
          <w:tcPr>
            <w:tcW w:type="dxa" w:w="2269"/>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Trained on Financial PhraseBank</w:t>
            </w:r>
          </w:p>
        </w:tc>
      </w:tr>
      <w:tr>
        <w:tc>
          <w:tcPr>
            <w:tcW w:type="dxa" w:w="2269"/>
            <w:shd w:val="clear" w:color="auto" w:fill="F0F6FB"/>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LSTM + Sentiment Fusion</w:t>
            </w:r>
          </w:p>
        </w:tc>
        <w:tc>
          <w:tcPr>
            <w:tcW w:type="dxa" w:w="2269"/>
            <w:shd w:val="clear" w:color="auto" w:fill="F0F6FB"/>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≥63%</w:t>
            </w:r>
          </w:p>
        </w:tc>
        <w:tc>
          <w:tcPr>
            <w:tcW w:type="dxa" w:w="2269"/>
            <w:shd w:val="clear" w:color="auto" w:fill="F0F6FB"/>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&gt;0.65</w:t>
            </w:r>
          </w:p>
        </w:tc>
        <w:tc>
          <w:tcPr>
            <w:tcW w:type="dxa" w:w="2269"/>
            <w:shd w:val="clear" w:color="auto" w:fill="F0F6FB"/>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Primary target — combined model</w:t>
            </w:r>
          </w:p>
        </w:tc>
      </w:tr>
    </w:tbl>
    <w:p/>
    <w:tbl>
      <w:tblPr>
        <w:tblW w:type="auto" w:w="0"/>
        <w:jc w:val="left"/>
        <w:tblLook w:firstColumn="1" w:firstRow="1" w:lastColumn="0" w:lastRow="0" w:noHBand="0" w:noVBand="1" w:val="04A0"/>
      </w:tblPr>
      <w:tblGrid>
        <w:gridCol w:w="9075"/>
      </w:tblGrid>
      <w:tr>
        <w:tc>
          <w:tcPr>
            <w:tcW w:type="dxa" w:w="9360"/>
            <w:shd w:val="clear" w:color="auto" w:fill="1B3A6B"/>
            <w:tcMar>
              <w:top w:w="100" w:type="dxa"/>
              <w:left w:w="100" w:type="dxa"/>
              <w:bottom w:w="100" w:type="dxa"/>
              <w:right w:w="100" w:type="dxa"/>
            </w:tcMar>
          </w:tcPr>
          <w:p>
            <w:pPr>
              <w:spacing w:before="100" w:after="100"/>
              <w:jc w:val="left"/>
            </w:pPr>
            <w:r>
              <w:rPr>
                <w:rFonts w:ascii="Calibri" w:hAnsi="Calibri"/>
                <w:b/>
                <w:color w:val="FFFFFF"/>
                <w:sz w:val="24"/>
              </w:rPr>
              <w:t>9.   Submission Requirements</w:t>
            </w:r>
          </w:p>
        </w:tc>
      </w:tr>
    </w:tbl>
    <w:p/>
    <w:p>
      <w:pPr>
        <w:pStyle w:val="ListBullet"/>
        <w:spacing w:before="20" w:after="40"/>
        <w:ind w:left="432"/>
      </w:pPr>
      <w:r>
        <w:rPr>
          <w:rFonts w:ascii="Calibri" w:hAnsi="Calibri"/>
          <w:sz w:val="20"/>
        </w:rPr>
        <w:t>GitHub or GitLab repository link with fully reproducible code and a requirements.txt file.</w:t>
      </w:r>
    </w:p>
    <w:p>
      <w:pPr>
        <w:pStyle w:val="ListBullet"/>
        <w:spacing w:before="20" w:after="40"/>
        <w:ind w:left="432"/>
      </w:pPr>
      <w:r>
        <w:rPr>
          <w:rFonts w:ascii="Calibri" w:hAnsi="Calibri"/>
          <w:sz w:val="20"/>
        </w:rPr>
        <w:t>Jupyter Notebooks or Python scripts for both objectives, clearly labeled and separated.</w:t>
      </w:r>
    </w:p>
    <w:p>
      <w:pPr>
        <w:pStyle w:val="ListBullet"/>
        <w:spacing w:before="20" w:after="40"/>
        <w:ind w:left="432"/>
      </w:pPr>
      <w:r>
        <w:rPr>
          <w:rFonts w:ascii="Calibri" w:hAnsi="Calibri"/>
          <w:sz w:val="20"/>
        </w:rPr>
        <w:t>Dataset download instructions in the repository. Do not commit datasets larger than 500 MB.</w:t>
      </w:r>
    </w:p>
    <w:p>
      <w:pPr>
        <w:pStyle w:val="ListBullet"/>
        <w:spacing w:before="20" w:after="40"/>
        <w:ind w:left="432"/>
      </w:pPr>
      <w:r>
        <w:rPr>
          <w:rFonts w:ascii="Calibri" w:hAnsi="Calibri"/>
          <w:sz w:val="20"/>
        </w:rPr>
        <w:t>Technical report: 2 to 3 pages, PDF format, with team names and project ID on the cover page.</w:t>
      </w:r>
    </w:p>
    <w:p>
      <w:pPr>
        <w:pStyle w:val="ListBullet"/>
        <w:spacing w:before="20" w:after="40"/>
        <w:ind w:left="432"/>
      </w:pPr>
      <w:r>
        <w:rPr>
          <w:rFonts w:ascii="Calibri" w:hAnsi="Calibri"/>
          <w:sz w:val="20"/>
        </w:rPr>
        <w:t>Results summary table: all evaluation metrics for both objectives presented in a single table.</w:t>
      </w:r>
    </w:p>
    <w:p>
      <w:pPr>
        <w:pStyle w:val="ListBullet"/>
        <w:spacing w:before="20" w:after="40"/>
        <w:ind w:left="432"/>
      </w:pPr>
      <w:r>
        <w:rPr>
          <w:rFonts w:ascii="Calibri" w:hAnsi="Calibri"/>
          <w:sz w:val="20"/>
        </w:rPr>
        <w:t>A working Streamlit demo app or a clean notebook walkthrough showing the full pipeline.</w:t>
      </w:r>
    </w:p>
    <w:p>
      <w:pPr>
        <w:pStyle w:val="ListBullet"/>
        <w:spacing w:before="20" w:after="40"/>
        <w:ind w:left="432"/>
      </w:pPr>
      <w:r>
        <w:rPr>
          <w:rFonts w:ascii="Calibri" w:hAnsi="Calibri"/>
          <w:sz w:val="20"/>
        </w:rPr>
        <w:t>README.md must include: problem statement, approach, results table, and how-to-run instructions.</w:t>
      </w:r>
    </w:p>
    <w:tbl>
      <w:tblPr>
        <w:tblW w:type="auto" w:w="0"/>
        <w:jc w:val="left"/>
        <w:tblLook w:firstColumn="1" w:firstRow="1" w:lastColumn="0" w:lastRow="0" w:noHBand="0" w:noVBand="1" w:val="04A0"/>
      </w:tblPr>
      <w:tblGrid>
        <w:gridCol w:w="9075"/>
      </w:tblGrid>
      <w:tr>
        <w:tc>
          <w:tcPr>
            <w:tcW w:type="dxa" w:w="9360"/>
            <w:shd w:val="clear" w:color="auto" w:fill="1B3A6B"/>
            <w:tcMar>
              <w:top w:w="100" w:type="dxa"/>
              <w:left w:w="100" w:type="dxa"/>
              <w:bottom w:w="100" w:type="dxa"/>
              <w:right w:w="100" w:type="dxa"/>
            </w:tcMar>
          </w:tcPr>
          <w:p>
            <w:pPr>
              <w:spacing w:before="100" w:after="100"/>
              <w:jc w:val="left"/>
            </w:pPr>
            <w:r>
              <w:rPr>
                <w:rFonts w:ascii="Calibri" w:hAnsi="Calibri"/>
                <w:b/>
                <w:color w:val="FFFFFF"/>
                <w:sz w:val="24"/>
              </w:rPr>
              <w:t>10.  Grading Breakdown</w:t>
            </w:r>
          </w:p>
        </w:tc>
      </w:tr>
    </w:tbl>
    <w:p/>
    <w:tbl>
      <w:tblPr>
        <w:tblStyle w:val="TableGrid"/>
        <w:tblW w:type="auto" w:w="0"/>
        <w:jc w:val="left"/>
        <w:tblLook w:firstColumn="1" w:firstRow="1" w:lastColumn="0" w:lastRow="0" w:noHBand="0" w:noVBand="1" w:val="04A0"/>
      </w:tblPr>
      <w:tblGrid>
        <w:gridCol w:w="3025"/>
        <w:gridCol w:w="3025"/>
        <w:gridCol w:w="3025"/>
      </w:tblGrid>
      <w:tr>
        <w:tc>
          <w:tcPr>
            <w:tcW w:type="dxa" w:w="3025"/>
            <w:shd w:val="clear" w:color="auto" w:fill="1B3A6B"/>
          </w:tcPr>
          <w:p>
            <w:pPr>
              <w:spacing w:before="40" w:after="40"/>
              <w:jc w:val="center"/>
            </w:pPr>
            <w:r/>
            <w:r>
              <w:rPr>
                <w:rFonts w:ascii="Calibri" w:hAnsi="Calibri"/>
                <w:b/>
                <w:i w:val="0"/>
                <w:color w:val="FFFFFF"/>
                <w:sz w:val="20"/>
              </w:rPr>
              <w:t>Component</w:t>
            </w:r>
          </w:p>
        </w:tc>
        <w:tc>
          <w:tcPr>
            <w:tcW w:type="dxa" w:w="3025"/>
            <w:shd w:val="clear" w:color="auto" w:fill="1B3A6B"/>
          </w:tcPr>
          <w:p>
            <w:pPr>
              <w:spacing w:before="40" w:after="40"/>
              <w:jc w:val="center"/>
            </w:pPr>
            <w:r/>
            <w:r>
              <w:rPr>
                <w:rFonts w:ascii="Calibri" w:hAnsi="Calibri"/>
                <w:b/>
                <w:i w:val="0"/>
                <w:color w:val="FFFFFF"/>
                <w:sz w:val="20"/>
              </w:rPr>
              <w:t>Weight</w:t>
            </w:r>
          </w:p>
        </w:tc>
        <w:tc>
          <w:tcPr>
            <w:tcW w:type="dxa" w:w="3025"/>
            <w:shd w:val="clear" w:color="auto" w:fill="1B3A6B"/>
          </w:tcPr>
          <w:p>
            <w:pPr>
              <w:spacing w:before="40" w:after="40"/>
              <w:jc w:val="center"/>
            </w:pPr>
            <w:r/>
            <w:r>
              <w:rPr>
                <w:rFonts w:ascii="Calibri" w:hAnsi="Calibri"/>
                <w:b/>
                <w:i w:val="0"/>
                <w:color w:val="FFFFFF"/>
                <w:sz w:val="20"/>
              </w:rPr>
              <w:t>What Is Evaluated</w:t>
            </w:r>
          </w:p>
        </w:tc>
      </w:tr>
      <w:tr>
        <w:tc>
          <w:tcPr>
            <w:tcW w:type="dxa" w:w="3025"/>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On-Time Submission</w:t>
            </w:r>
          </w:p>
        </w:tc>
        <w:tc>
          <w:tcPr>
            <w:tcW w:type="dxa" w:w="3025"/>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50%</w:t>
            </w:r>
          </w:p>
        </w:tc>
        <w:tc>
          <w:tcPr>
            <w:tcW w:type="dxa" w:w="3025"/>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Report, GitHub link, README, code, and dataset access instructions</w:t>
            </w:r>
          </w:p>
        </w:tc>
      </w:tr>
      <w:tr>
        <w:tc>
          <w:tcPr>
            <w:tcW w:type="dxa" w:w="3025"/>
            <w:shd w:val="clear" w:color="auto" w:fill="F0F6FB"/>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Presentation</w:t>
            </w:r>
          </w:p>
        </w:tc>
        <w:tc>
          <w:tcPr>
            <w:tcW w:type="dxa" w:w="3025"/>
            <w:shd w:val="clear" w:color="auto" w:fill="F0F6FB"/>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30%</w:t>
            </w:r>
          </w:p>
        </w:tc>
        <w:tc>
          <w:tcPr>
            <w:tcW w:type="dxa" w:w="3025"/>
            <w:shd w:val="clear" w:color="auto" w:fill="F0F6FB"/>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PPT quality, clarity, individual contribution, and innovative aspects</w:t>
            </w:r>
          </w:p>
        </w:tc>
      </w:tr>
      <w:tr>
        <w:tc>
          <w:tcPr>
            <w:tcW w:type="dxa" w:w="3025"/>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Viva</w:t>
            </w:r>
          </w:p>
        </w:tc>
        <w:tc>
          <w:tcPr>
            <w:tcW w:type="dxa" w:w="3025"/>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20%</w:t>
            </w:r>
          </w:p>
        </w:tc>
        <w:tc>
          <w:tcPr>
            <w:tcW w:type="dxa" w:w="3025"/>
            <w:shd w:val="clear" w:color="auto" w:fill="FFFFFF"/>
            <w:tcBorders>
              <w:top w:val="single" w:sz="4" w:space="0" w:color="BFD7EA"/>
              <w:left w:val="single" w:sz="4" w:space="0" w:color="BFD7EA"/>
              <w:bottom w:val="single" w:sz="4" w:space="0" w:color="BFD7EA"/>
              <w:right w:val="single" w:sz="4" w:space="0" w:color="BFD7EA"/>
            </w:tcBorders>
          </w:tcPr>
          <w:p>
            <w:pPr>
              <w:spacing w:before="40" w:after="40"/>
              <w:jc w:val="left"/>
            </w:pPr>
            <w:r/>
            <w:r>
              <w:rPr>
                <w:rFonts w:ascii="Calibri" w:hAnsi="Calibri"/>
                <w:b w:val="0"/>
                <w:i w:val="0"/>
                <w:color w:val="000000"/>
                <w:sz w:val="18"/>
              </w:rPr>
              <w:t>Technical Q&amp;A from the project implementation and syllabus topics</w:t>
            </w:r>
          </w:p>
        </w:tc>
      </w:tr>
    </w:tbl>
    <w:p/>
    <w:tbl>
      <w:tblPr>
        <w:tblW w:type="auto" w:w="0"/>
        <w:jc w:val="left"/>
        <w:tblLook w:firstColumn="1" w:firstRow="1" w:lastColumn="0" w:lastRow="0" w:noHBand="0" w:noVBand="1" w:val="04A0"/>
      </w:tblPr>
      <w:tblGrid>
        <w:gridCol w:w="9075"/>
      </w:tblGrid>
      <w:tr>
        <w:tc>
          <w:tcPr>
            <w:tcW w:type="dxa" w:w="9360"/>
            <w:shd w:val="clear" w:color="auto" w:fill="1B3A6B"/>
            <w:tcMar>
              <w:top w:w="100" w:type="dxa"/>
              <w:left w:w="100" w:type="dxa"/>
              <w:bottom w:w="100" w:type="dxa"/>
              <w:right w:w="100" w:type="dxa"/>
            </w:tcMar>
          </w:tcPr>
          <w:p>
            <w:pPr>
              <w:spacing w:before="100" w:after="100"/>
              <w:jc w:val="left"/>
            </w:pPr>
            <w:r>
              <w:rPr>
                <w:rFonts w:ascii="Calibri" w:hAnsi="Calibri"/>
                <w:b/>
                <w:color w:val="FFFFFF"/>
                <w:sz w:val="24"/>
              </w:rPr>
              <w:t>11.  Resume-Worthy Line</w:t>
            </w:r>
          </w:p>
        </w:tc>
      </w:tr>
    </w:tbl>
    <w:p/>
    <w:tbl>
      <w:tblPr>
        <w:tblW w:type="auto" w:w="0"/>
        <w:jc w:val="left"/>
        <w:tblLook w:firstColumn="1" w:firstRow="1" w:lastColumn="0" w:lastRow="0" w:noHBand="0" w:noVBand="1" w:val="04A0"/>
      </w:tblPr>
      <w:tblGrid>
        <w:gridCol w:w="9075"/>
      </w:tblGrid>
      <w:tr>
        <w:tc>
          <w:tcPr>
            <w:tcW w:type="dxa" w:w="9075"/>
            <w:shd w:val="clear" w:color="auto" w:fill="D9EAF7"/>
            <w:tcBorders>
              <w:top w:val="single" w:sz="8" w:space="0" w:color="2E6DA4"/>
              <w:left w:val="single" w:sz="8" w:space="0" w:color="2E6DA4"/>
              <w:bottom w:val="single" w:sz="8" w:space="0" w:color="2E6DA4"/>
              <w:right w:val="single" w:sz="8" w:space="0" w:color="2E6DA4"/>
            </w:tcBorders>
          </w:tcPr>
          <w:p>
            <w:pPr>
              <w:spacing w:before="120" w:after="120"/>
              <w:jc w:val="left"/>
            </w:pPr>
            <w:r>
              <w:rPr>
                <w:rFonts w:ascii="Calibri" w:hAnsi="Calibri"/>
                <w:i/>
                <w:color w:val="1B3A6B"/>
                <w:sz w:val="22"/>
              </w:rPr>
              <w:t>Built stock movement predictor combining LSTM price modeling with FinBERT news sentiment fusion; achieved 63% directional accuracy vs 53% baseline across 5 equities.</w:t>
            </w:r>
          </w:p>
        </w:tc>
      </w:tr>
    </w:tbl>
    <w:p/>
    <w:tbl>
      <w:tblPr>
        <w:tblW w:type="auto" w:w="0"/>
        <w:jc w:val="left"/>
        <w:tblLook w:firstColumn="1" w:firstRow="1" w:lastColumn="0" w:lastRow="0" w:noHBand="0" w:noVBand="1" w:val="04A0"/>
      </w:tblPr>
      <w:tblGrid>
        <w:gridCol w:w="9075"/>
      </w:tblGrid>
      <w:tr>
        <w:tc>
          <w:tcPr>
            <w:tcW w:type="dxa" w:w="9360"/>
            <w:shd w:val="clear" w:color="auto" w:fill="1B3A6B"/>
            <w:tcMar>
              <w:top w:w="100" w:type="dxa"/>
              <w:left w:w="100" w:type="dxa"/>
              <w:bottom w:w="100" w:type="dxa"/>
              <w:right w:w="100" w:type="dxa"/>
            </w:tcMar>
          </w:tcPr>
          <w:p>
            <w:pPr>
              <w:spacing w:before="100" w:after="100"/>
              <w:jc w:val="left"/>
            </w:pPr>
            <w:r>
              <w:rPr>
                <w:rFonts w:ascii="Calibri" w:hAnsi="Calibri"/>
                <w:b/>
                <w:color w:val="FFFFFF"/>
                <w:sz w:val="24"/>
              </w:rPr>
              <w:t>12.  Interview and Placement Tips</w:t>
            </w:r>
          </w:p>
        </w:tc>
      </w:tr>
    </w:tbl>
    <w:p/>
    <w:p>
      <w:pPr>
        <w:pStyle w:val="ListBullet"/>
        <w:spacing w:before="20" w:after="40"/>
        <w:ind w:left="432"/>
      </w:pPr>
      <w:r>
        <w:rPr>
          <w:rFonts w:ascii="Calibri" w:hAnsi="Calibri"/>
          <w:sz w:val="20"/>
        </w:rPr>
        <w:t>PyTorch and HuggingFace are the most frequently asked-about libraries in AI/ML interviews at Amazon, Microsoft, and Bosch.</w:t>
      </w:r>
    </w:p>
    <w:p>
      <w:pPr>
        <w:pStyle w:val="ListBullet"/>
        <w:spacing w:before="20" w:after="40"/>
        <w:ind w:left="432"/>
      </w:pPr>
      <w:r>
        <w:rPr>
          <w:rFonts w:ascii="Calibri" w:hAnsi="Calibri"/>
          <w:sz w:val="20"/>
        </w:rPr>
        <w:t>Write a clear README.md — recruiters evaluate GitHub repositories in under 30 seconds.</w:t>
      </w:r>
    </w:p>
    <w:p>
      <w:pPr>
        <w:pStyle w:val="ListBullet"/>
        <w:spacing w:before="20" w:after="40"/>
        <w:ind w:left="432"/>
      </w:pPr>
      <w:r>
        <w:rPr>
          <w:rFonts w:ascii="Calibri" w:hAnsi="Calibri"/>
          <w:sz w:val="20"/>
        </w:rPr>
        <w:t>Include a results table comparing at least two model variants. This demonstrates experimental thinking and depth.</w:t>
      </w:r>
    </w:p>
    <w:p>
      <w:pPr>
        <w:pStyle w:val="ListBullet"/>
        <w:spacing w:before="20" w:after="40"/>
        <w:ind w:left="432"/>
      </w:pPr>
      <w:r>
        <w:rPr>
          <w:rFonts w:ascii="Calibri" w:hAnsi="Calibri"/>
          <w:sz w:val="20"/>
        </w:rPr>
        <w:t>Keep all training fully reproducible by setting random seeds and logging every hyperparameter.</w:t>
      </w:r>
    </w:p>
    <w:p>
      <w:pPr>
        <w:pStyle w:val="ListBullet"/>
        <w:spacing w:before="20" w:after="40"/>
        <w:ind w:left="432"/>
      </w:pPr>
      <w:r>
        <w:rPr>
          <w:rFonts w:ascii="Calibri" w:hAnsi="Calibri"/>
          <w:sz w:val="20"/>
        </w:rPr>
        <w:t>Add a brief Limitations and Future Work section. This shows engineering maturity and is often a viva discussion point.</w:t>
      </w:r>
    </w:p>
    <w:p>
      <w:pPr>
        <w:pStyle w:val="ListBullet"/>
        <w:spacing w:before="20" w:after="40"/>
        <w:ind w:left="432"/>
      </w:pPr>
      <w:r>
        <w:rPr>
          <w:rFonts w:ascii="Calibri" w:hAnsi="Calibri"/>
          <w:sz w:val="20"/>
        </w:rPr>
        <w:t>Report your metric numbers honestly. A well-analysed 63% F1 is more credible and impressive than an unsupported 95%.</w:t>
      </w:r>
    </w:p>
    <w:p>
      <w:pPr>
        <w:pStyle w:val="ListBullet"/>
        <w:spacing w:before="20" w:after="40"/>
        <w:ind w:left="432"/>
      </w:pPr>
      <w:r>
        <w:rPr>
          <w:rFonts w:ascii="Calibri" w:hAnsi="Calibri"/>
          <w:sz w:val="20"/>
        </w:rPr>
        <w:t>Be prepared to explain in your own words: LSTM memory cells and gating, BERT tokenization and fine-tuning, Sharpe ratio, and data leakage in time-series.</w:t>
      </w:r>
    </w:p>
    <w:p/>
    <w:p>
      <w:pPr>
        <w:jc w:val="center"/>
      </w:pPr>
      <w:r>
        <w:rPr>
          <w:rFonts w:ascii="Calibri" w:hAnsi="Calibri"/>
          <w:color w:val="969696"/>
          <w:sz w:val="16"/>
        </w:rPr>
        <w:t>LPU CSE AI/ML  —  Integrated Project Assignment 2025–26  |  P08 Assignment Brief</w:t>
      </w:r>
    </w:p>
    <w:sectPr w:rsidR="00FC693F" w:rsidRPr="0006063C" w:rsidSect="00034616">
      <w:pgSz w:w="11909" w:h="16834"/>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