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2b4c"/>
          <w:sz w:val="40"/>
          <w:szCs w:val="40"/>
        </w:rPr>
        <w:t xml:space="preserve">Executive Summary</w:t>
      </w:r>
    </w:p>
    <w:p>
      <w:pPr>
        <w:spacing w:after="40"/>
      </w:pPr>
      <w:r>
        <w:rPr>
          <w:b/>
          <w:bCs/>
          <w:color w:val="3b5bdb"/>
          <w:sz w:val="26"/>
          <w:szCs w:val="26"/>
        </w:rPr>
        <w:t xml:space="preserve">Customer Engagement &amp; Product Utilization Analytics for Retention Strategy</w:t>
      </w:r>
    </w:p>
    <w:p>
      <w:pPr>
        <w:spacing w:after="360"/>
      </w:pPr>
      <w:r>
        <w:rPr>
          <w:i/>
          <w:iCs/>
          <w:color w:val="6c757d"/>
          <w:sz w:val="20"/>
          <w:szCs w:val="20"/>
        </w:rPr>
        <w:t xml:space="preserve">Prepared for government stakeholder review  |  Santha Aadhira, LeapStart School of Technology</w:t>
      </w:r>
    </w:p>
    <w:p>
      <w:pPr>
        <w:pStyle w:val="Heading1"/>
        <w:spacing w:after="140" w:before="280"/>
      </w:pPr>
      <w:r>
        <w:t xml:space="preserve">Purpose</w:t>
      </w:r>
    </w:p>
    <w:p>
      <w:pPr>
        <w:spacing w:after="160"/>
        <w:jc w:val="both"/>
      </w:pPr>
      <w:r>
        <w:t xml:space="preserve">This summary presents the findings of a customer retention analysis conducted on 10,000 European Bank customer records across France, Germany, and Spain. The analysis was commissioned to determine which customer behaviors — rather than demographics alone — predict churn, in order to inform consumer-protection and financial-inclusion policy discussions around banking engagement and retention practices.</w:t>
      </w:r>
    </w:p>
    <w:p>
      <w:pPr>
        <w:pStyle w:val="Heading1"/>
        <w:spacing w:after="140" w:before="280"/>
      </w:pPr>
      <w:r>
        <w:t xml:space="preserve">Headline Finding</w:t>
      </w:r>
    </w:p>
    <w:p>
      <w:pPr>
        <w:spacing w:after="160"/>
        <w:jc w:val="both"/>
      </w:pPr>
      <w:r>
        <w:t xml:space="preserve">Customer engagement, not wealth, is the dominant driver of retention. Customers who are financially inactive churn at nearly twice the rate of active customers, and this pattern holds regardless of how much money they hold with the bank. The data identifies a specific, sizeable population of financially strong but disengaged customers who are quietly leaving the banking system — a pattern with implications for both institutional revenue and consumer financial stability.</w:t>
      </w:r>
    </w:p>
    <w:p>
      <w:pPr>
        <w:pStyle w:val="Heading1"/>
        <w:spacing w:after="140" w:before="280"/>
      </w:pPr>
      <w:r>
        <w:t xml:space="preserve">Key Statistics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6200"/>
      </w:tblGrid>
      <w:tr>
        <w:tc>
          <w:tcPr>
            <w:tcW w:type="dxa" w:w="2700"/>
            <w:shd w:fill="1a2b4c" w:val="clear"/>
          </w:tcPr>
          <w:p>
            <w:r>
              <w:rPr>
                <w:b/>
                <w:bCs/>
                <w:color w:val="FFFFFF"/>
              </w:rPr>
              <w:t xml:space="preserve">Metric</w:t>
            </w:r>
          </w:p>
        </w:tc>
        <w:tc>
          <w:tcPr>
            <w:tcW w:type="dxa" w:w="6200"/>
            <w:shd w:fill="1a2b4c" w:val="clear"/>
          </w:tcPr>
          <w:p>
            <w:r>
              <w:rPr>
                <w:b/>
                <w:bCs/>
                <w:color w:val="FFFFFF"/>
              </w:rPr>
              <w:t xml:space="preserve">Finding</w:t>
            </w:r>
          </w:p>
        </w:tc>
      </w:tr>
      <w:tr>
        <w:tc>
          <w:tcPr>
            <w:tcW w:type="dxa" w:w="2700"/>
          </w:tcPr>
          <w:p>
            <w:r>
              <w:t xml:space="preserve">Overall churn rate</w:t>
            </w:r>
          </w:p>
        </w:tc>
        <w:tc>
          <w:tcPr>
            <w:tcW w:type="dxa" w:w="6200"/>
          </w:tcPr>
          <w:p>
            <w:r>
              <w:t xml:space="preserve">20.4% of the 10,000-customer base exited within the observed period.</w:t>
            </w:r>
          </w:p>
        </w:tc>
      </w:tr>
      <w:tr>
        <w:tc>
          <w:tcPr>
            <w:tcW w:type="dxa" w:w="2700"/>
          </w:tcPr>
          <w:p>
            <w:r>
              <w:t xml:space="preserve">Engagement gap</w:t>
            </w:r>
          </w:p>
        </w:tc>
        <w:tc>
          <w:tcPr>
            <w:tcW w:type="dxa" w:w="6200"/>
          </w:tcPr>
          <w:p>
            <w:r>
              <w:t xml:space="preserve">Inactive customers churn at 26.9% vs. 14.3% for active customers — 1.88 times higher.</w:t>
            </w:r>
          </w:p>
        </w:tc>
      </w:tr>
      <w:tr>
        <w:tc>
          <w:tcPr>
            <w:tcW w:type="dxa" w:w="2700"/>
          </w:tcPr>
          <w:p>
            <w:r>
              <w:t xml:space="preserve">High-value blind spot</w:t>
            </w:r>
          </w:p>
        </w:tc>
        <w:tc>
          <w:tcPr>
            <w:tcW w:type="dxa" w:w="6200"/>
          </w:tcPr>
          <w:p>
            <w:r>
              <w:t xml:space="preserve">1,247 customers (12.5% of the base) hold top-quartile balances yet are inactive; this group churns at 30.5%, the highest-value at-risk population identified.</w:t>
            </w:r>
          </w:p>
        </w:tc>
      </w:tr>
      <w:tr>
        <w:tc>
          <w:tcPr>
            <w:tcW w:type="dxa" w:w="2700"/>
          </w:tcPr>
          <w:p>
            <w:r>
              <w:t xml:space="preserve">Product-holding pattern</w:t>
            </w:r>
          </w:p>
        </w:tc>
        <w:tc>
          <w:tcPr>
            <w:tcW w:type="dxa" w:w="6200"/>
          </w:tcPr>
          <w:p>
            <w:r>
              <w:t xml:space="preserve">Churn is lowest (7.6%) among customers with exactly two products, but rises sharply to 83-100% among customers with three or more — the opposite of the assumption that more products means more loyalty.</w:t>
            </w:r>
          </w:p>
        </w:tc>
      </w:tr>
      <w:tr>
        <w:tc>
          <w:tcPr>
            <w:tcW w:type="dxa" w:w="2700"/>
          </w:tcPr>
          <w:p>
            <w:r>
              <w:t xml:space="preserve">Regional disparity</w:t>
            </w:r>
          </w:p>
        </w:tc>
        <w:tc>
          <w:tcPr>
            <w:tcW w:type="dxa" w:w="6200"/>
          </w:tcPr>
          <w:p>
            <w:r>
              <w:t xml:space="preserve">Germany's churn rate (32.4%) is roughly double that of France (16.2%) and Spain (16.7%), despite Germany having the highest average customer balance.</w:t>
            </w:r>
          </w:p>
        </w:tc>
      </w:tr>
      <w:tr>
        <w:tc>
          <w:tcPr>
            <w:tcW w:type="dxa" w:w="2700"/>
          </w:tcPr>
          <w:p>
            <w:r>
              <w:t xml:space="preserve">Age concentration</w:t>
            </w:r>
          </w:p>
        </w:tc>
        <w:tc>
          <w:tcPr>
            <w:tcW w:type="dxa" w:w="6200"/>
          </w:tcPr>
          <w:p>
            <w:r>
              <w:t xml:space="preserve">Churn peaks at 56.2% among customers aged 51-60, the single highest-risk age band.</w:t>
            </w:r>
          </w:p>
        </w:tc>
      </w:tr>
    </w:tbl>
    <w:p>
      <w:pPr>
        <w:pStyle w:val="Heading1"/>
        <w:spacing w:after="140" w:before="280"/>
      </w:pPr>
      <w:r>
        <w:t xml:space="preserve">Why This Matters for Policy</w:t>
      </w:r>
    </w:p>
    <w:p>
      <w:pPr>
        <w:pStyle w:val="ListParagraph"/>
        <w:numPr>
          <w:ilvl w:val="0"/>
          <w:numId w:val="2"/>
        </w:numPr>
        <w:spacing w:after="80"/>
      </w:pPr>
      <w:r>
        <w:t xml:space="preserve">Consumer protection: a meaningful share of customers accumulating three or more products immediately before leaving suggests possible mis-selling or forced bundling dynamics worth regulatory attention.</w:t>
      </w:r>
    </w:p>
    <w:p>
      <w:pPr>
        <w:pStyle w:val="ListParagraph"/>
        <w:numPr>
          <w:ilvl w:val="0"/>
          <w:numId w:val="2"/>
        </w:numPr>
        <w:spacing w:after="80"/>
      </w:pPr>
      <w:r>
        <w:t xml:space="preserve">Financial stability: disengaged, high-balance customers represent latent flight risk — sudden withdrawal behavior from this group could have outsized liquidity implications for a bank if not proactively managed.</w:t>
      </w:r>
    </w:p>
    <w:p>
      <w:pPr>
        <w:pStyle w:val="ListParagraph"/>
        <w:numPr>
          <w:ilvl w:val="0"/>
          <w:numId w:val="2"/>
        </w:numPr>
        <w:spacing w:after="80"/>
      </w:pPr>
      <w:r>
        <w:t xml:space="preserve">Market oversight: the Germany-specific churn gap, despite higher customer wealth there, points to a market-level service or competitive dynamic that merits closer supervisory review rather than being explained away by demographics.</w:t>
      </w:r>
    </w:p>
    <w:p>
      <w:pPr>
        <w:pStyle w:val="Heading1"/>
        <w:spacing w:after="140" w:before="280"/>
      </w:pPr>
      <w:r>
        <w:t xml:space="preserve">Recommendations</w:t>
      </w:r>
    </w:p>
    <w:p>
      <w:pPr>
        <w:pStyle w:val="ListParagraph"/>
        <w:numPr>
          <w:ilvl w:val="0"/>
          <w:numId w:val="2"/>
        </w:numPr>
        <w:spacing w:after="80"/>
      </w:pPr>
      <w:r>
        <w:t xml:space="preserve">Encourage banks to monitor engagement (activity status) as a formal early-warning indicator, not just account balance or tenure.</w:t>
      </w:r>
    </w:p>
    <w:p>
      <w:pPr>
        <w:pStyle w:val="ListParagraph"/>
        <w:numPr>
          <w:ilvl w:val="0"/>
          <w:numId w:val="2"/>
        </w:numPr>
        <w:spacing w:after="80"/>
      </w:pPr>
      <w:r>
        <w:t xml:space="preserve">Scrutinize product-bundling practices where customers rapidly accumulate three or more products, given the strong association with subsequent exit.</w:t>
      </w:r>
    </w:p>
    <w:p>
      <w:pPr>
        <w:pStyle w:val="ListParagraph"/>
        <w:numPr>
          <w:ilvl w:val="0"/>
          <w:numId w:val="2"/>
        </w:numPr>
        <w:spacing w:after="80"/>
      </w:pPr>
      <w:r>
        <w:t xml:space="preserve">Support requirements for proactive outreach to inactive, high-balance customers as a consumer-protection safeguard.</w:t>
      </w:r>
    </w:p>
    <w:p>
      <w:pPr>
        <w:pStyle w:val="ListParagraph"/>
        <w:numPr>
          <w:ilvl w:val="0"/>
          <w:numId w:val="2"/>
        </w:numPr>
        <w:spacing w:after="80"/>
      </w:pPr>
      <w:r>
        <w:t xml:space="preserve">Request market-level reporting (e.g., by country) so regional disparities such as Germany's elevated churn can be investigated and addressed.</w:t>
      </w:r>
    </w:p>
    <w:p>
      <w:pPr>
        <w:pStyle w:val="Heading1"/>
        <w:spacing w:after="140" w:before="280"/>
      </w:pPr>
      <w:r>
        <w:t xml:space="preserve">Supporting Materials</w:t>
      </w:r>
    </w:p>
    <w:p>
      <w:pPr>
        <w:spacing w:after="160"/>
        <w:jc w:val="both"/>
      </w:pPr>
      <w:r>
        <w:t xml:space="preserve">This summary is accompanied by a full research paper (detailed EDA, methodology, and segment-level findings) and an interactive Streamlit dashboard that allows filtering by geography, engagement status, product count, balance, and age for further exploration.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1a2b4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2026-09-22T15:16:26.157Z</dcterms:created>
  <dcterms:modified xsi:type="dcterms:W3CDTF">2026-09-22T15:16:26.157Z</dcterms:modified>
</cp:coreProperties>
</file>

<file path=docProps/custom.xml><?xml version="1.0" encoding="utf-8"?>
<Properties xmlns="http://schemas.openxmlformats.org/officeDocument/2006/custom-properties" xmlns:vt="http://schemas.openxmlformats.org/officeDocument/2006/docPropsVTypes"/>
</file>