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
        <w:jc w:val="left"/>
      </w:pPr>
      <w:r>
        <w:rPr>
          <w:rFonts w:ascii="Aptos" w:hAnsi="Aptos"/>
          <w:b/>
          <w:color w:val="132238"/>
          <w:sz w:val="68"/>
        </w:rPr>
        <w:t>ShadowFunnel</w:t>
      </w:r>
    </w:p>
    <w:p>
      <w:pPr>
        <w:spacing w:after="440"/>
      </w:pPr>
      <w:r>
        <w:rPr>
          <w:rFonts w:ascii="Aptos" w:hAnsi="Aptos"/>
          <w:b w:val="0"/>
          <w:color w:val="5D6B7A"/>
          <w:sz w:val="32"/>
        </w:rPr>
        <w:t>Final Engineering Specification v2.0 — Razorpay AI Buildathon 2026, Track 01</w:t>
      </w: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1F5EFF"/>
            <w:tcBorders>
              <w:top w:val="nil"/>
              <w:left w:val="nil"/>
              <w:bottom w:val="nil"/>
              <w:right w:val="nil"/>
            </w:tcBorders>
          </w:tcPr>
          <w:p/>
        </w:tc>
        <w:tc>
          <w:tcPr>
            <w:tcW w:type="dxa" w:w="5083"/>
            <w:shd w:fill="EEF4FF"/>
            <w:tcBorders>
              <w:top w:val="nil"/>
              <w:left w:val="nil"/>
              <w:bottom w:val="nil"/>
              <w:right w:val="nil"/>
            </w:tcBorders>
          </w:tcPr>
          <w:p>
            <w:pPr>
              <w:spacing w:after="40"/>
            </w:pPr>
            <w:r>
              <w:rPr>
                <w:rFonts w:ascii="Aptos" w:hAnsi="Aptos"/>
                <w:b/>
                <w:i w:val="0"/>
                <w:color w:val="1F5EFF"/>
                <w:sz w:val="21"/>
              </w:rPr>
              <w:t>THE ONE-LINE THESIS</w:t>
              <w:br/>
            </w:r>
            <w:r>
              <w:rPr>
                <w:rFonts w:ascii="Aptos" w:hAnsi="Aptos"/>
                <w:b w:val="0"/>
                <w:i w:val="0"/>
                <w:color w:val="1D2733"/>
                <w:sz w:val="20"/>
              </w:rPr>
              <w:t>ShadowFunnel instruments the machine-side buyer journey after an AI agent contacts a merchant, explains why the agent does not convert, and forms the safest economically valid offer that can turn eligible machine intent into a Razorpay payment.</w:t>
            </w:r>
          </w:p>
        </w:tc>
      </w:tr>
    </w:tbl>
    <w:p>
      <w:pPr>
        <w:spacing w:after="20"/>
      </w:pPr>
    </w:p>
    <w:p>
      <w:pPr>
        <w:spacing w:after="100" w:line="259" w:lineRule="auto"/>
      </w:pPr>
      <w:r>
        <w:rPr>
          <w:rFonts w:ascii="Aptos" w:hAnsi="Aptos"/>
          <w:b w:val="0"/>
          <w:i w:val="0"/>
          <w:color w:val="1D2733"/>
          <w:sz w:val="21"/>
        </w:rPr>
        <w:t>This revision replaces the earlier blueprint’s ambiguous margin accounting, historical-evidence overreach, non-atomic inventory checks, optimistic counterfactual attribution and incomplete payment finalization. The goal is not to make the idea sound safer; it is to make the safety claims mechanically defensible.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Build priority</w:t>
            </w:r>
          </w:p>
        </w:tc>
        <w:tc>
          <w:tcPr>
            <w:tcW w:type="dxa" w:w="468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Meaning</w:t>
            </w:r>
          </w:p>
        </w:tc>
        <w:tc>
          <w:tcPr>
            <w:tcW w:type="dxa" w:w="309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Ship condition</w:t>
            </w:r>
          </w:p>
        </w:tc>
      </w:tr>
      <w:tr>
        <w:tc>
          <w:tcPr>
            <w:tcW w:type="dxa" w:w="19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P0 — Required</w:t>
            </w:r>
          </w:p>
        </w:tc>
        <w:tc>
          <w:tcPr>
            <w:tcW w:type="dxa" w:w="46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Track-compliant agentic commerce transaction</w:t>
            </w:r>
          </w:p>
        </w:tc>
        <w:tc>
          <w:tcPr>
            <w:tcW w:type="dxa" w:w="309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Must work end-to-end before novelty</w:t>
            </w:r>
          </w:p>
        </w:tc>
      </w:tr>
      <w:tr>
        <w:tc>
          <w:tcPr>
            <w:tcW w:type="dxa" w:w="194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P1 — Differentiator</w:t>
            </w:r>
          </w:p>
        </w:tc>
        <w:tc>
          <w:tcPr>
            <w:tcW w:type="dxa" w:w="46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ShadowFunnel observability + Merchant Truth + bounded rescue</w:t>
            </w:r>
          </w:p>
        </w:tc>
        <w:tc>
          <w:tcPr>
            <w:tcW w:type="dxa" w:w="309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Must be polished enough to be the demo centrepiece</w:t>
            </w:r>
          </w:p>
        </w:tc>
      </w:tr>
      <w:tr>
        <w:tc>
          <w:tcPr>
            <w:tcW w:type="dxa" w:w="19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P2 — Decision intelligence</w:t>
            </w:r>
          </w:p>
        </w:tc>
        <w:tc>
          <w:tcPr>
            <w:tcW w:type="dxa" w:w="46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Paired replay + counterfactual merchant policy simulation</w:t>
            </w:r>
          </w:p>
        </w:tc>
        <w:tc>
          <w:tcPr>
            <w:tcW w:type="dxa" w:w="309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Build only after P0/P1 are stable</w:t>
            </w:r>
          </w:p>
        </w:tc>
      </w:tr>
    </w:tbl>
    <w:p>
      <w:pPr>
        <w:spacing w:after="20"/>
      </w:pPr>
    </w:p>
    <w:p>
      <w:pPr>
        <w:spacing w:after="100" w:line="259" w:lineRule="auto"/>
      </w:pPr>
      <w:r>
        <w:rPr>
          <w:rFonts w:ascii="Aptos" w:hAnsi="Aptos"/>
          <w:b w:val="0"/>
          <w:i w:val="0"/>
          <w:color w:val="1D2733"/>
          <w:sz w:val="21"/>
        </w:rPr>
        <w:t>Revision status: accounting model frozen; flagship demo numbers recomputed; HARD/UNKNOWN path traced; Razorpay payment and webhook path aligned with current official documentation; remaining execution risk is implementation scope, not conceptual arithmetic.</w:t>
      </w:r>
    </w:p>
    <w:p>
      <w:r>
        <w:br w:type="page"/>
      </w:r>
    </w:p>
    <w:p>
      <w:pPr>
        <w:pStyle w:val="Heading1"/>
        <w:spacing w:before="280" w:after="140"/>
      </w:pPr>
      <w:r>
        <w:rPr>
          <w:rFonts w:ascii="Aptos" w:hAnsi="Aptos"/>
          <w:b/>
          <w:color w:val="132238"/>
          <w:sz w:val="38"/>
        </w:rPr>
        <w:t>1. Track Fit and the Exact Minimum</w:t>
      </w:r>
    </w:p>
    <w:p>
      <w:pPr>
        <w:pStyle w:val="Heading2"/>
        <w:spacing w:before="200" w:after="100"/>
      </w:pPr>
      <w:r>
        <w:rPr>
          <w:rFonts w:ascii="Aptos" w:hAnsi="Aptos"/>
          <w:b/>
          <w:color w:val="1F5EFF"/>
          <w:sz w:val="27"/>
        </w:rPr>
        <w:t>1.1 Official Track 01 minimum</w:t>
      </w:r>
    </w:p>
    <w:p>
      <w:pPr>
        <w:spacing w:after="100" w:line="259" w:lineRule="auto"/>
      </w:pPr>
      <w:r>
        <w:rPr>
          <w:rFonts w:ascii="Aptos" w:hAnsi="Aptos"/>
          <w:b w:val="0"/>
          <w:i w:val="0"/>
          <w:color w:val="1D2733"/>
          <w:sz w:val="21"/>
        </w:rPr>
        <w:t>The project must first satisfy the Track 01 brief exactly: grow merchant revenue on Razorpay test-mode APIs and/or make a merchant transactable by an AI buyer end-to-end. Every money action must be explainable, bounded and gated, with an audit trail and at least one graceful failure.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Requirement</w:t>
            </w:r>
          </w:p>
        </w:tc>
        <w:tc>
          <w:tcPr>
            <w:tcW w:type="dxa" w:w="403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P0 implementation</w:t>
            </w:r>
          </w:p>
        </w:tc>
        <w:tc>
          <w:tcPr>
            <w:tcW w:type="dxa" w:w="403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Acceptance test</w:t>
            </w:r>
          </w:p>
        </w:tc>
      </w:tr>
      <w:tr>
        <w:tc>
          <w:tcPr>
            <w:tcW w:type="dxa" w:w="20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AI-buyer commerce</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Machine-readable catalog + typed buyer intent + deterministic product evaluation</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 buyer agent can request a product under explicit constraints and receive a typed offer.</w:t>
            </w:r>
          </w:p>
        </w:tc>
      </w:tr>
      <w:tr>
        <w:tc>
          <w:tcPr>
            <w:tcW w:type="dxa" w:w="20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Razorpay Test Mode</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Server-created Order + Standard Checkout + server verification</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 successful test payment produces a Razorpay order/payment record and captured/paid state.</w:t>
            </w:r>
          </w:p>
        </w:tc>
      </w:tr>
      <w:tr>
        <w:tc>
          <w:tcPr>
            <w:tcW w:type="dxa" w:w="20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Bounded money action</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Deterministic contribution-margin, discount, inventory and approval gates</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No LLM can authorize a discount, shipping subsidy or payment.</w:t>
            </w:r>
          </w:p>
        </w:tc>
      </w:tr>
      <w:tr>
        <w:tc>
          <w:tcPr>
            <w:tcW w:type="dxa" w:w="20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Explainable</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Every constraint and policy decision stores inputs, rule and result</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Judge can click an event and reproduce the result.</w:t>
            </w:r>
          </w:p>
        </w:tc>
      </w:tr>
      <w:tr>
        <w:tc>
          <w:tcPr>
            <w:tcW w:type="dxa" w:w="20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Audit trail</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Immutable event sequence from intent through payment/reconciliation</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All money actions have a policy decision id and evidence refs.</w:t>
            </w:r>
          </w:p>
        </w:tc>
      </w:tr>
      <w:tr>
        <w:tc>
          <w:tcPr>
            <w:tcW w:type="dxa" w:w="20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Graceful failure</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Unsafe discount / stock race / expired offer / payment mismatch handled without charging or fulfilling incorrectly</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At least one failure is deliberately demonstrated.</w:t>
            </w:r>
          </w:p>
        </w:tc>
      </w:tr>
    </w:tbl>
    <w:p>
      <w:pPr>
        <w:spacing w:after="20"/>
      </w:pPr>
    </w:p>
    <w:p>
      <w:pPr>
        <w:pStyle w:val="Heading2"/>
        <w:spacing w:before="200" w:after="100"/>
      </w:pPr>
      <w:r>
        <w:rPr>
          <w:rFonts w:ascii="Aptos" w:hAnsi="Aptos"/>
          <w:b/>
          <w:color w:val="1F5EFF"/>
          <w:sz w:val="27"/>
        </w:rPr>
        <w:t>1.2 Why this is Track 01, not Track 03</w:t>
      </w: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198754"/>
            <w:tcBorders>
              <w:top w:val="nil"/>
              <w:left w:val="nil"/>
              <w:bottom w:val="nil"/>
              <w:right w:val="nil"/>
            </w:tcBorders>
          </w:tcPr>
          <w:p/>
        </w:tc>
        <w:tc>
          <w:tcPr>
            <w:tcW w:type="dxa" w:w="5083"/>
            <w:shd w:fill="EEF9F3"/>
            <w:tcBorders>
              <w:top w:val="nil"/>
              <w:left w:val="nil"/>
              <w:bottom w:val="nil"/>
              <w:right w:val="nil"/>
            </w:tcBorders>
          </w:tcPr>
          <w:p>
            <w:pPr>
              <w:spacing w:after="40"/>
            </w:pPr>
            <w:r>
              <w:rPr>
                <w:rFonts w:ascii="Aptos" w:hAnsi="Aptos"/>
                <w:b/>
                <w:i w:val="0"/>
                <w:color w:val="198754"/>
                <w:sz w:val="21"/>
              </w:rPr>
              <w:t>USE THIS SENTENCE WITH JUDGES</w:t>
              <w:br/>
            </w:r>
            <w:r>
              <w:rPr>
                <w:rFonts w:ascii="Aptos" w:hAnsi="Aptos"/>
                <w:b w:val="0"/>
                <w:i w:val="0"/>
                <w:color w:val="1D2733"/>
                <w:sz w:val="20"/>
              </w:rPr>
              <w:t>ShadowFunnel is Track 01 because it operates inside the AI buyer–merchant decision loop before checkout: it makes merchant state machine-readable, forms policy-valid offers and converts agent decisions into Razorpay transactions; post-checkout payment failure recovery is out of scope.</w:t>
            </w:r>
          </w:p>
        </w:tc>
      </w:tr>
    </w:tbl>
    <w:p>
      <w:pPr>
        <w:spacing w:after="20"/>
      </w:pPr>
    </w:p>
    <w:p>
      <w:pPr>
        <w:spacing w:after="100" w:line="259" w:lineRule="auto"/>
      </w:pPr>
      <w:r>
        <w:rPr>
          <w:rFonts w:ascii="Aptos" w:hAnsi="Aptos"/>
          <w:b w:val="0"/>
          <w:i w:val="0"/>
          <w:color w:val="1D2733"/>
          <w:sz w:val="21"/>
        </w:rPr>
        <w:t>Do not lead with “recovered revenue.” Lead with AI-buyer conversion intelligence, adaptive seller policy and merchant sellability to autonomous buyers. The rescue action is part of offer formation after an agent-query rejection, not payment dunning or failed-payment recovery.</w:t>
      </w:r>
    </w:p>
    <w:p>
      <w:pPr>
        <w:pStyle w:val="Heading2"/>
        <w:spacing w:before="200" w:after="100"/>
      </w:pPr>
      <w:r>
        <w:rPr>
          <w:rFonts w:ascii="Aptos" w:hAnsi="Aptos"/>
          <w:b/>
          <w:color w:val="1F5EFF"/>
          <w:sz w:val="27"/>
        </w:rPr>
        <w:t>1.3 Observability boundary — no overclaim</w:t>
      </w: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B26A00"/>
            <w:tcBorders>
              <w:top w:val="nil"/>
              <w:left w:val="nil"/>
              <w:bottom w:val="nil"/>
              <w:right w:val="nil"/>
            </w:tcBorders>
          </w:tcPr>
          <w:p/>
        </w:tc>
        <w:tc>
          <w:tcPr>
            <w:tcW w:type="dxa" w:w="5083"/>
            <w:shd w:fill="FFF6E8"/>
            <w:tcBorders>
              <w:top w:val="nil"/>
              <w:left w:val="nil"/>
              <w:bottom w:val="nil"/>
              <w:right w:val="nil"/>
            </w:tcBorders>
          </w:tcPr>
          <w:p>
            <w:pPr>
              <w:spacing w:after="40"/>
            </w:pPr>
            <w:r>
              <w:rPr>
                <w:rFonts w:ascii="Aptos" w:hAnsi="Aptos"/>
                <w:b/>
                <w:i w:val="0"/>
                <w:color w:val="B26A00"/>
                <w:sz w:val="21"/>
              </w:rPr>
              <w:t>NON-NEGOTIABLE CLAIM BOUNDARY</w:t>
              <w:br/>
            </w:r>
            <w:r>
              <w:rPr>
                <w:rFonts w:ascii="Aptos" w:hAnsi="Aptos"/>
                <w:b w:val="0"/>
                <w:i w:val="0"/>
                <w:color w:val="1D2733"/>
                <w:sz w:val="20"/>
              </w:rPr>
              <w:t>We observe AI agents only after they contact the merchant’s machine-readable commerce surface. Agents that eliminate the merchant before making a query are not observable and are not counted.</w:t>
            </w:r>
          </w:p>
        </w:tc>
      </w:tr>
    </w:tbl>
    <w:p>
      <w:pPr>
        <w:spacing w:after="20"/>
      </w:pPr>
    </w:p>
    <w:p>
      <w:pPr>
        <w:pStyle w:val="ListBullet"/>
        <w:spacing w:after="40"/>
      </w:pPr>
      <w:r>
        <w:rPr>
          <w:rFonts w:ascii="Aptos" w:hAnsi="Aptos"/>
          <w:b w:val="0"/>
          <w:i w:val="0"/>
          <w:color w:val="1D2733"/>
          <w:sz w:val="21"/>
        </w:rPr>
        <w:t>For the controlled hackathon buyer agent, full rejection traces are available.</w:t>
      </w:r>
    </w:p>
    <w:p>
      <w:pPr>
        <w:pStyle w:val="ListBullet"/>
        <w:spacing w:after="40"/>
      </w:pPr>
      <w:r>
        <w:rPr>
          <w:rFonts w:ascii="Aptos" w:hAnsi="Aptos"/>
          <w:b w:val="0"/>
          <w:i w:val="0"/>
          <w:color w:val="1D2733"/>
          <w:sz w:val="21"/>
        </w:rPr>
        <w:t>For an external agent that queries the catalog and then disappears, non-conversion is observable but the reason is UNKNOWN unless the agent returns reason metadata.</w:t>
      </w:r>
    </w:p>
    <w:p>
      <w:pPr>
        <w:pStyle w:val="ListBullet"/>
        <w:spacing w:after="40"/>
      </w:pPr>
      <w:r>
        <w:rPr>
          <w:rFonts w:ascii="Aptos" w:hAnsi="Aptos"/>
          <w:b w:val="0"/>
          <w:i w:val="0"/>
          <w:color w:val="1D2733"/>
          <w:sz w:val="21"/>
        </w:rPr>
        <w:t>Never infer “the agent rejected us because X” from absence alone. Store OBSERVED, INFERRED or UNKNOWN reason provenance explicitly.</w:t>
      </w:r>
    </w:p>
    <w:p>
      <w:pPr>
        <w:pStyle w:val="Heading1"/>
        <w:spacing w:before="280" w:after="140"/>
      </w:pPr>
      <w:r>
        <w:rPr>
          <w:rFonts w:ascii="Aptos" w:hAnsi="Aptos"/>
          <w:b/>
          <w:color w:val="132238"/>
          <w:sz w:val="38"/>
        </w:rPr>
        <w:t>2. System Invariants — Rules That Cannot Be Bypassed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Invariant</w:t>
            </w:r>
          </w:p>
        </w:tc>
        <w:tc>
          <w:tcPr>
            <w:tcW w:type="dxa" w:w="799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Rule</w:t>
            </w:r>
          </w:p>
        </w:tc>
      </w:tr>
      <w:tr>
        <w:tc>
          <w:tcPr>
            <w:tcW w:type="dxa" w:w="22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Money arithmetic</w:t>
            </w:r>
          </w:p>
        </w:tc>
        <w:tc>
          <w:tcPr>
            <w:tcW w:type="dxa" w:w="79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Integer paise / fixed-decimal deterministic code only; no LLM arithmetic.</w:t>
            </w:r>
          </w:p>
        </w:tc>
      </w:tr>
      <w:tr>
        <w:tc>
          <w:tcPr>
            <w:tcW w:type="dxa" w:w="22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Margin floor</w:t>
            </w:r>
          </w:p>
        </w:tc>
        <w:tc>
          <w:tcPr>
            <w:tcW w:type="dxa" w:w="799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Contribution margin after tax treatment and all merchant-borne variable costs.</w:t>
            </w:r>
          </w:p>
        </w:tc>
      </w:tr>
      <w:tr>
        <w:tc>
          <w:tcPr>
            <w:tcW w:type="dxa" w:w="22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Discount policy</w:t>
            </w:r>
          </w:p>
        </w:tc>
        <w:tc>
          <w:tcPr>
            <w:tcW w:type="dxa" w:w="79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≤4% may be autonomous if all gates pass; &gt;4% to ≤5% requires human approval; &gt;5% is blocked.</w:t>
            </w:r>
          </w:p>
        </w:tc>
      </w:tr>
      <w:tr>
        <w:tc>
          <w:tcPr>
            <w:tcW w:type="dxa" w:w="22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HARD UNKNOWN</w:t>
            </w:r>
          </w:p>
        </w:tc>
        <w:tc>
          <w:tcPr>
            <w:tcW w:type="dxa" w:w="799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INELIGIBLE_PENDING_EVIDENCE. No final offer and no payment until resolved.</w:t>
            </w:r>
          </w:p>
        </w:tc>
      </w:tr>
      <w:tr>
        <w:tc>
          <w:tcPr>
            <w:tcW w:type="dxa" w:w="22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SOFT UNKNOWN</w:t>
            </w:r>
          </w:p>
        </w:tc>
        <w:tc>
          <w:tcPr>
            <w:tcW w:type="dxa" w:w="79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May remain a candidate, but the unknown attribute is never represented as satisfied.</w:t>
            </w:r>
          </w:p>
        </w:tc>
      </w:tr>
      <w:tr>
        <w:tc>
          <w:tcPr>
            <w:tcW w:type="dxa" w:w="22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Current evidence</w:t>
            </w:r>
          </w:p>
        </w:tc>
        <w:tc>
          <w:tcPr>
            <w:tcW w:type="dxa" w:w="799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Only predicate-specific current authority can satisfy a HARD fact. Historical evidence cannot silently become current capability.</w:t>
            </w:r>
          </w:p>
        </w:tc>
      </w:tr>
      <w:tr>
        <w:tc>
          <w:tcPr>
            <w:tcW w:type="dxa" w:w="22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Inventory</w:t>
            </w:r>
          </w:p>
        </w:tc>
        <w:tc>
          <w:tcPr>
            <w:tcW w:type="dxa" w:w="79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Stock and dispatch capacity are atomically reserved per location before Razorpay Order creation.</w:t>
            </w:r>
          </w:p>
        </w:tc>
      </w:tr>
      <w:tr>
        <w:tc>
          <w:tcPr>
            <w:tcW w:type="dxa" w:w="22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Payment</w:t>
            </w:r>
          </w:p>
        </w:tc>
        <w:tc>
          <w:tcPr>
            <w:tcW w:type="dxa" w:w="799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Checkout signature authenticates callback details; fulfilment additionally requires server-side status/amount/order verification.</w:t>
            </w:r>
          </w:p>
        </w:tc>
      </w:tr>
      <w:tr>
        <w:tc>
          <w:tcPr>
            <w:tcW w:type="dxa" w:w="22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Policy decision</w:t>
            </w:r>
          </w:p>
        </w:tc>
        <w:tc>
          <w:tcPr>
            <w:tcW w:type="dxa" w:w="79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Bound to immutable offer hash, exact amount, currency, reservation, fulfilment route and expiry.</w:t>
            </w:r>
          </w:p>
        </w:tc>
      </w:tr>
      <w:tr>
        <w:tc>
          <w:tcPr>
            <w:tcW w:type="dxa" w:w="22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Counterfactuals</w:t>
            </w:r>
          </w:p>
        </w:tc>
        <w:tc>
          <w:tcPr>
            <w:tcW w:type="dxa" w:w="799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Measured by paired replay. No invented cannibalisation or uplift numbers.</w:t>
            </w:r>
          </w:p>
        </w:tc>
      </w:tr>
    </w:tbl>
    <w:p>
      <w:pPr>
        <w:spacing w:after="20"/>
      </w:pPr>
    </w:p>
    <w:p>
      <w:pPr>
        <w:pStyle w:val="Heading1"/>
        <w:spacing w:before="280" w:after="140"/>
      </w:pPr>
      <w:r>
        <w:rPr>
          <w:rFonts w:ascii="Aptos" w:hAnsi="Aptos"/>
          <w:b/>
          <w:color w:val="132238"/>
          <w:sz w:val="38"/>
        </w:rPr>
        <w:t>3. Frozen Accounting Model</w:t>
      </w:r>
    </w:p>
    <w:p>
      <w:pPr>
        <w:pStyle w:val="Heading2"/>
        <w:spacing w:before="200" w:after="100"/>
      </w:pPr>
      <w:r>
        <w:rPr>
          <w:rFonts w:ascii="Aptos" w:hAnsi="Aptos"/>
          <w:b/>
          <w:color w:val="1F5EFF"/>
          <w:sz w:val="27"/>
        </w:rPr>
        <w:t>3.1 Tax basis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Demo configuration</w:t>
            </w:r>
          </w:p>
        </w:tc>
        <w:tc>
          <w:tcPr>
            <w:tcW w:type="dxa" w:w="698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Value</w:t>
            </w:r>
          </w:p>
        </w:tc>
      </w:tr>
      <w:tr>
        <w:tc>
          <w:tcPr>
            <w:tcW w:type="dxa" w:w="324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Catalog prices</w:t>
            </w:r>
          </w:p>
        </w:tc>
        <w:tc>
          <w:tcPr>
            <w:tcW w:type="dxa" w:w="698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GST-inclusive</w:t>
            </w:r>
          </w:p>
        </w:tc>
      </w:tr>
      <w:tr>
        <w:tc>
          <w:tcPr>
            <w:tcW w:type="dxa" w:w="324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Buyer budget</w:t>
            </w:r>
          </w:p>
        </w:tc>
        <w:tc>
          <w:tcPr>
            <w:tcW w:type="dxa" w:w="698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Final gross amount payable, GST-inclusive</w:t>
            </w:r>
          </w:p>
        </w:tc>
      </w:tr>
      <w:tr>
        <w:tc>
          <w:tcPr>
            <w:tcW w:type="dxa" w:w="324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Demo output GST rate</w:t>
            </w:r>
          </w:p>
        </w:tc>
        <w:tc>
          <w:tcPr>
            <w:tcW w:type="dxa" w:w="698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18% for the demo basket; production computes tax line-by-line</w:t>
            </w:r>
          </w:p>
        </w:tc>
      </w:tr>
      <w:tr>
        <w:tc>
          <w:tcPr>
            <w:tcW w:type="dxa" w:w="324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Supplier purchase price</w:t>
            </w:r>
          </w:p>
        </w:tc>
        <w:tc>
          <w:tcPr>
            <w:tcW w:type="dxa" w:w="698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₹5,428 gross for the 20-unit basket</w:t>
            </w:r>
          </w:p>
        </w:tc>
      </w:tr>
      <w:tr>
        <w:tc>
          <w:tcPr>
            <w:tcW w:type="dxa" w:w="324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Input GST treatment</w:t>
            </w:r>
          </w:p>
        </w:tc>
        <w:tc>
          <w:tcPr>
            <w:tcW w:type="dxa" w:w="698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Merchant configuration says purchase-input GST is recoverable; economic COGS = ₹4,600</w:t>
            </w:r>
          </w:p>
        </w:tc>
      </w:tr>
      <w:tr>
        <w:tc>
          <w:tcPr>
            <w:tcW w:type="dxa" w:w="324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Gateway fee assumption</w:t>
            </w:r>
          </w:p>
        </w:tc>
        <w:tc>
          <w:tcPr>
            <w:tcW w:type="dxa" w:w="698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3% platform fee because a B2B corporate-card method is plausible for this corporate order</w:t>
            </w:r>
          </w:p>
        </w:tc>
      </w:tr>
      <w:tr>
        <w:tc>
          <w:tcPr>
            <w:tcW w:type="dxa" w:w="324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GST on gateway fee</w:t>
            </w:r>
          </w:p>
        </w:tc>
        <w:tc>
          <w:tcPr>
            <w:tcW w:type="dxa" w:w="698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18% applies to the platform fee; demo merchant configuration treats this GST as recoverable ITC</w:t>
            </w:r>
          </w:p>
        </w:tc>
      </w:tr>
    </w:tbl>
    <w:p>
      <w:pPr>
        <w:spacing w:after="20"/>
      </w:pP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15847B"/>
            <w:tcBorders>
              <w:top w:val="nil"/>
              <w:left w:val="nil"/>
              <w:bottom w:val="nil"/>
              <w:right w:val="nil"/>
            </w:tcBorders>
          </w:tcPr>
          <w:p/>
        </w:tc>
        <w:tc>
          <w:tcPr>
            <w:tcW w:type="dxa" w:w="5083"/>
            <w:shd w:fill="EEF4FF"/>
            <w:tcBorders>
              <w:top w:val="nil"/>
              <w:left w:val="nil"/>
              <w:bottom w:val="nil"/>
              <w:right w:val="nil"/>
            </w:tcBorders>
          </w:tcPr>
          <w:p>
            <w:pPr>
              <w:spacing w:after="40"/>
            </w:pPr>
            <w:r>
              <w:rPr>
                <w:rFonts w:ascii="Aptos" w:hAnsi="Aptos"/>
                <w:b/>
                <w:i w:val="0"/>
                <w:color w:val="15847B"/>
                <w:sz w:val="21"/>
              </w:rPr>
              <w:t>IMPORTANT</w:t>
              <w:br/>
            </w:r>
            <w:r>
              <w:rPr>
                <w:rFonts w:ascii="Aptos" w:hAnsi="Aptos"/>
                <w:b w:val="0"/>
                <w:i w:val="0"/>
                <w:color w:val="1D2733"/>
                <w:sz w:val="20"/>
              </w:rPr>
              <w:t>The engine never assumes ITC universally. Tax recoverability is merchant configuration. If gateway-fee GST is not recoverable, the demo decisions still remain unchanged: Candidate A stays BLOCK and Candidate B stays ALLOW.</w:t>
            </w:r>
          </w:p>
        </w:tc>
      </w:tr>
    </w:tbl>
    <w:p>
      <w:pPr>
        <w:spacing w:after="20"/>
      </w:pPr>
    </w:p>
    <w:p>
      <w:pPr>
        <w:pStyle w:val="Heading2"/>
        <w:spacing w:before="200" w:after="100"/>
      </w:pPr>
      <w:r>
        <w:rPr>
          <w:rFonts w:ascii="Aptos" w:hAnsi="Aptos"/>
          <w:b/>
          <w:color w:val="1F5EFF"/>
          <w:sz w:val="27"/>
        </w:rPr>
        <w:t>3.2 Single denominator and contribution formula</w:t>
      </w:r>
    </w:p>
    <w:tbl>
      <w:tblPr>
        <w:tblW w:type="auto" w:w="0"/>
        <w:jc w:val="center"/>
        <w:tblLook w:firstColumn="1" w:firstRow="1" w:lastColumn="0" w:lastRow="0" w:noHBand="0" w:noVBand="1" w:val="04A0"/>
      </w:tblPr>
      <w:tblGrid>
        <w:gridCol w:w="10166"/>
      </w:tblGrid>
      <w:tr>
        <w:tc>
          <w:tcPr>
            <w:tcW w:type="dxa" w:w="10166"/>
            <w:shd w:fill="F2F4F7"/>
            <w:tcBorders>
              <w:top w:val="single" w:sz="4" w:color="D0D5DD"/>
              <w:left w:val="single" w:sz="4" w:color="D0D5DD"/>
              <w:bottom w:val="single" w:sz="4" w:color="D0D5DD"/>
              <w:right w:val="single" w:sz="4" w:color="D0D5DD"/>
            </w:tcBorders>
          </w:tcPr>
          <w:p>
            <w:pPr>
              <w:spacing w:after="0"/>
            </w:pPr>
            <w:r>
              <w:rPr>
                <w:rFonts w:ascii="Liberation Mono" w:hAnsi="Liberation Mono"/>
                <w:color w:val="1D2733"/>
                <w:sz w:val="17"/>
              </w:rPr>
              <w:t>gross_customer_payable = sum(gross line prices after discounts)</w:t>
              <w:br/>
            </w:r>
            <w:r>
              <w:rPr>
                <w:rFonts w:ascii="Liberation Mono" w:hAnsi="Liberation Mono"/>
                <w:color w:val="1D2733"/>
                <w:sz w:val="17"/>
              </w:rPr>
              <w:t>output_tax = tax_engine(gross line prices, configured tax rates)</w:t>
              <w:br/>
            </w:r>
            <w:r>
              <w:rPr>
                <w:rFonts w:ascii="Liberation Mono" w:hAnsi="Liberation Mono"/>
                <w:color w:val="1D2733"/>
                <w:sz w:val="17"/>
              </w:rPr>
              <w:t>net_sales_revenue = gross_customer_payable - output_tax</w:t>
              <w:br/>
            </w:r>
            <w:r>
              <w:rPr>
                <w:rFonts w:ascii="Liberation Mono" w:hAnsi="Liberation Mono"/>
                <w:color w:val="1D2733"/>
                <w:sz w:val="17"/>
              </w:rPr>
              <w:br/>
            </w:r>
            <w:r>
              <w:rPr>
                <w:rFonts w:ascii="Liberation Mono" w:hAnsi="Liberation Mono"/>
                <w:color w:val="1D2733"/>
                <w:sz w:val="17"/>
              </w:rPr>
              <w:t>economic_COGS = supplier gross cost - recoverable input tax</w:t>
              <w:br/>
            </w:r>
            <w:r>
              <w:rPr>
                <w:rFonts w:ascii="Liberation Mono" w:hAnsi="Liberation Mono"/>
                <w:color w:val="1D2733"/>
                <w:sz w:val="17"/>
              </w:rPr>
              <w:t>economic_payment_cost = platform fee + non-recoverable tax on fee</w:t>
              <w:br/>
            </w:r>
            <w:r>
              <w:rPr>
                <w:rFonts w:ascii="Liberation Mono" w:hAnsi="Liberation Mono"/>
                <w:color w:val="1D2733"/>
                <w:sz w:val="17"/>
              </w:rPr>
              <w:br/>
            </w:r>
            <w:r>
              <w:rPr>
                <w:rFonts w:ascii="Liberation Mono" w:hAnsi="Liberation Mono"/>
                <w:color w:val="1D2733"/>
                <w:sz w:val="17"/>
              </w:rPr>
              <w:t>contribution = net_sales_revenue</w:t>
              <w:br/>
            </w:r>
            <w:r>
              <w:rPr>
                <w:rFonts w:ascii="Liberation Mono" w:hAnsi="Liberation Mono"/>
                <w:color w:val="1D2733"/>
                <w:sz w:val="17"/>
              </w:rPr>
              <w:t xml:space="preserve">             - economic_COGS</w:t>
              <w:br/>
            </w:r>
            <w:r>
              <w:rPr>
                <w:rFonts w:ascii="Liberation Mono" w:hAnsi="Liberation Mono"/>
                <w:color w:val="1D2733"/>
                <w:sz w:val="17"/>
              </w:rPr>
              <w:t xml:space="preserve">             - variable_fulfilment_cost</w:t>
              <w:br/>
            </w:r>
            <w:r>
              <w:rPr>
                <w:rFonts w:ascii="Liberation Mono" w:hAnsi="Liberation Mono"/>
                <w:color w:val="1D2733"/>
                <w:sz w:val="17"/>
              </w:rPr>
              <w:t xml:space="preserve">             - economic_payment_cost</w:t>
              <w:br/>
            </w:r>
            <w:r>
              <w:rPr>
                <w:rFonts w:ascii="Liberation Mono" w:hAnsi="Liberation Mono"/>
                <w:color w:val="1D2733"/>
                <w:sz w:val="17"/>
              </w:rPr>
              <w:t xml:space="preserve">             - other merchant-borne variable costs</w:t>
              <w:br/>
            </w:r>
            <w:r>
              <w:rPr>
                <w:rFonts w:ascii="Liberation Mono" w:hAnsi="Liberation Mono"/>
                <w:color w:val="1D2733"/>
                <w:sz w:val="17"/>
              </w:rPr>
              <w:br/>
            </w:r>
            <w:r>
              <w:rPr>
                <w:rFonts w:ascii="Liberation Mono" w:hAnsi="Liberation Mono"/>
                <w:color w:val="1D2733"/>
                <w:sz w:val="17"/>
              </w:rPr>
              <w:t>contribution_margin = contribution / net_sales_revenue</w:t>
            </w:r>
          </w:p>
        </w:tc>
      </w:tr>
    </w:tbl>
    <w:p>
      <w:pPr>
        <w:spacing w:after="20"/>
      </w:pPr>
    </w:p>
    <w:p>
      <w:pPr>
        <w:pStyle w:val="ListBullet"/>
        <w:spacing w:after="40"/>
      </w:pPr>
      <w:r>
        <w:rPr>
          <w:rFonts w:ascii="Aptos" w:hAnsi="Aptos"/>
          <w:b w:val="0"/>
          <w:i w:val="0"/>
          <w:color w:val="1D2733"/>
          <w:sz w:val="21"/>
        </w:rPr>
        <w:t>A discount is already reflected in the selling price; do not subtract it again as a promotion cost.</w:t>
      </w:r>
    </w:p>
    <w:p>
      <w:pPr>
        <w:pStyle w:val="ListBullet"/>
        <w:spacing w:after="40"/>
      </w:pPr>
      <w:r>
        <w:rPr>
          <w:rFonts w:ascii="Aptos" w:hAnsi="Aptos"/>
          <w:b w:val="0"/>
          <w:i w:val="0"/>
          <w:color w:val="1D2733"/>
          <w:sz w:val="21"/>
        </w:rPr>
        <w:t>Buyer-charged shipping is revenue; merchant-paid carrier cost is fulfilment cost.</w:t>
      </w:r>
    </w:p>
    <w:p>
      <w:pPr>
        <w:pStyle w:val="ListBullet"/>
        <w:spacing w:after="40"/>
      </w:pPr>
      <w:r>
        <w:rPr>
          <w:rFonts w:ascii="Aptos" w:hAnsi="Aptos"/>
          <w:b w:val="0"/>
          <w:i w:val="0"/>
          <w:color w:val="1D2733"/>
          <w:sz w:val="21"/>
        </w:rPr>
        <w:t>Tax is stripped from revenue consistently before margin is calculated.</w:t>
      </w:r>
    </w:p>
    <w:p>
      <w:pPr>
        <w:pStyle w:val="ListBullet"/>
        <w:spacing w:after="40"/>
      </w:pPr>
      <w:r>
        <w:rPr>
          <w:rFonts w:ascii="Aptos" w:hAnsi="Aptos"/>
          <w:b w:val="0"/>
          <w:i w:val="0"/>
          <w:color w:val="1D2733"/>
          <w:sz w:val="21"/>
        </w:rPr>
        <w:t>The same net-sales denominator is used for every rescue candidate.</w:t>
      </w:r>
    </w:p>
    <w:p>
      <w:pPr>
        <w:pStyle w:val="Heading2"/>
        <w:spacing w:before="200" w:after="100"/>
      </w:pPr>
      <w:r>
        <w:rPr>
          <w:rFonts w:ascii="Aptos" w:hAnsi="Aptos"/>
          <w:b/>
          <w:color w:val="1F5EFF"/>
          <w:sz w:val="27"/>
        </w:rPr>
        <w:t>3.3 Razorpay fee policy used by the demo</w:t>
      </w:r>
    </w:p>
    <w:p>
      <w:pPr>
        <w:spacing w:after="100" w:line="259" w:lineRule="auto"/>
      </w:pPr>
      <w:r>
        <w:rPr>
          <w:rFonts w:ascii="Aptos" w:hAnsi="Aptos"/>
          <w:b w:val="0"/>
          <w:i w:val="0"/>
          <w:color w:val="1D2733"/>
          <w:sz w:val="21"/>
        </w:rPr>
        <w:t>Razorpay’s public pricing page lists standard platform pricing at 2% + GST. Official Razorpay product pricing disclosures also identify premium instruments such as corporate/business credit cards, EMI, Amex/Diners and Pay Later at 3% + GST. For this B2B corporate-gift scenario, the demo reserves the 3% platform fee rather than pretending a corporate card is an exotic edge case. The merchant’s actual contracted rate must be configuration in a real deployment.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04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Fee view</w:t>
            </w:r>
          </w:p>
        </w:tc>
        <w:tc>
          <w:tcPr>
            <w:tcW w:type="dxa" w:w="417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Candidate B on ₹7,980</w:t>
            </w:r>
          </w:p>
        </w:tc>
      </w:tr>
      <w:tr>
        <w:tc>
          <w:tcPr>
            <w:tcW w:type="dxa" w:w="60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Platform fee @ 3%</w:t>
            </w:r>
          </w:p>
        </w:tc>
        <w:tc>
          <w:tcPr>
            <w:tcW w:type="dxa" w:w="417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₹239.40</w:t>
            </w:r>
          </w:p>
        </w:tc>
      </w:tr>
      <w:tr>
        <w:tc>
          <w:tcPr>
            <w:tcW w:type="dxa" w:w="60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GST on platform fee @ 18%</w:t>
            </w:r>
          </w:p>
        </w:tc>
        <w:tc>
          <w:tcPr>
            <w:tcW w:type="dxa" w:w="417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₹43.09</w:t>
            </w:r>
          </w:p>
        </w:tc>
      </w:tr>
      <w:tr>
        <w:tc>
          <w:tcPr>
            <w:tcW w:type="dxa" w:w="60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Cash fee charged by processor</w:t>
            </w:r>
          </w:p>
        </w:tc>
        <w:tc>
          <w:tcPr>
            <w:tcW w:type="dxa" w:w="417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₹282.49</w:t>
            </w:r>
          </w:p>
        </w:tc>
      </w:tr>
      <w:tr>
        <w:tc>
          <w:tcPr>
            <w:tcW w:type="dxa" w:w="60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Recoverable gateway-fee GST (demo config)</w:t>
            </w:r>
          </w:p>
        </w:tc>
        <w:tc>
          <w:tcPr>
            <w:tcW w:type="dxa" w:w="417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₹43.09</w:t>
            </w:r>
          </w:p>
        </w:tc>
      </w:tr>
      <w:tr>
        <w:tc>
          <w:tcPr>
            <w:tcW w:type="dxa" w:w="60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Economic processor cost used in margin</w:t>
            </w:r>
          </w:p>
        </w:tc>
        <w:tc>
          <w:tcPr>
            <w:tcW w:type="dxa" w:w="417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₹239.40</w:t>
            </w:r>
          </w:p>
        </w:tc>
      </w:tr>
    </w:tbl>
    <w:p>
      <w:pPr>
        <w:spacing w:after="20"/>
      </w:pPr>
    </w:p>
    <w:p>
      <w:pPr>
        <w:pStyle w:val="Heading1"/>
        <w:spacing w:before="280" w:after="140"/>
      </w:pPr>
      <w:r>
        <w:rPr>
          <w:rFonts w:ascii="Aptos" w:hAnsi="Aptos"/>
          <w:b/>
          <w:color w:val="132238"/>
          <w:sz w:val="38"/>
        </w:rPr>
        <w:t>4. Flagship Demo — Fully Consistent Scenario</w:t>
      </w:r>
    </w:p>
    <w:p>
      <w:pPr>
        <w:pStyle w:val="Heading2"/>
        <w:spacing w:before="200" w:after="100"/>
      </w:pPr>
      <w:r>
        <w:rPr>
          <w:rFonts w:ascii="Aptos" w:hAnsi="Aptos"/>
          <w:b/>
          <w:color w:val="1F5EFF"/>
          <w:sz w:val="27"/>
        </w:rPr>
        <w:t>4.1 Buyer intent</w:t>
      </w: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132238"/>
            <w:tcBorders>
              <w:top w:val="nil"/>
              <w:left w:val="nil"/>
              <w:bottom w:val="nil"/>
              <w:right w:val="nil"/>
            </w:tcBorders>
          </w:tcPr>
          <w:p/>
        </w:tc>
        <w:tc>
          <w:tcPr>
            <w:tcW w:type="dxa" w:w="5083"/>
            <w:shd w:fill="F8FAFC"/>
            <w:tcBorders>
              <w:top w:val="nil"/>
              <w:left w:val="nil"/>
              <w:bottom w:val="nil"/>
              <w:right w:val="nil"/>
            </w:tcBorders>
          </w:tcPr>
          <w:p>
            <w:pPr>
              <w:spacing w:after="40"/>
            </w:pPr>
            <w:r>
              <w:rPr>
                <w:rFonts w:ascii="Aptos" w:hAnsi="Aptos"/>
                <w:b/>
                <w:i w:val="0"/>
                <w:color w:val="132238"/>
                <w:sz w:val="21"/>
              </w:rPr>
              <w:t>BUYER</w:t>
              <w:br/>
            </w:r>
            <w:r>
              <w:rPr>
                <w:rFonts w:ascii="Aptos" w:hAnsi="Aptos"/>
                <w:b w:val="0"/>
                <w:i w:val="0"/>
                <w:color w:val="1D2733"/>
                <w:sz w:val="20"/>
              </w:rPr>
              <w:t>“Buy 20 FSC-certified corporate gift boxes for a final payable amount of at most ₹8,000, deliver to Pune by Monday, and issue a GST invoice.”</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31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Constraint</w:t>
            </w:r>
          </w:p>
        </w:tc>
        <w:tc>
          <w:tcPr>
            <w:tcW w:type="dxa" w:w="115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Type</w:t>
            </w:r>
          </w:p>
        </w:tc>
        <w:tc>
          <w:tcPr>
            <w:tcW w:type="dxa" w:w="388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Initial source</w:t>
            </w:r>
          </w:p>
        </w:tc>
        <w:tc>
          <w:tcPr>
            <w:tcW w:type="dxa" w:w="194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State before evaluation</w:t>
            </w:r>
          </w:p>
        </w:tc>
      </w:tr>
      <w:tr>
        <w:tc>
          <w:tcPr>
            <w:tcW w:type="dxa" w:w="331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Quantity = 20</w:t>
            </w:r>
          </w:p>
        </w:tc>
        <w:tc>
          <w:tcPr>
            <w:tcW w:type="dxa" w:w="115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HARD</w:t>
            </w:r>
          </w:p>
        </w:tc>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Buyer intent</w:t>
            </w:r>
          </w:p>
        </w:tc>
        <w:tc>
          <w:tcPr>
            <w:tcW w:type="dxa" w:w="19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Known</w:t>
            </w:r>
          </w:p>
        </w:tc>
      </w:tr>
      <w:tr>
        <w:tc>
          <w:tcPr>
            <w:tcW w:type="dxa" w:w="331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Final payable ≤ ₹8,000</w:t>
            </w:r>
          </w:p>
        </w:tc>
        <w:tc>
          <w:tcPr>
            <w:tcW w:type="dxa" w:w="115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HARD</w:t>
            </w:r>
          </w:p>
        </w:tc>
        <w:tc>
          <w:tcPr>
            <w:tcW w:type="dxa" w:w="388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Buyer intent</w:t>
            </w:r>
          </w:p>
        </w:tc>
        <w:tc>
          <w:tcPr>
            <w:tcW w:type="dxa" w:w="194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Known</w:t>
            </w:r>
          </w:p>
        </w:tc>
      </w:tr>
      <w:tr>
        <w:tc>
          <w:tcPr>
            <w:tcW w:type="dxa" w:w="331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Destination Pune / Monday</w:t>
            </w:r>
          </w:p>
        </w:tc>
        <w:tc>
          <w:tcPr>
            <w:tcW w:type="dxa" w:w="115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HARD</w:t>
            </w:r>
          </w:p>
        </w:tc>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Buyer intent</w:t>
            </w:r>
          </w:p>
        </w:tc>
        <w:tc>
          <w:tcPr>
            <w:tcW w:type="dxa" w:w="19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Known</w:t>
            </w:r>
          </w:p>
        </w:tc>
      </w:tr>
      <w:tr>
        <w:tc>
          <w:tcPr>
            <w:tcW w:type="dxa" w:w="331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GST invoice available</w:t>
            </w:r>
          </w:p>
        </w:tc>
        <w:tc>
          <w:tcPr>
            <w:tcW w:type="dxa" w:w="115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HARD</w:t>
            </w:r>
          </w:p>
        </w:tc>
        <w:tc>
          <w:tcPr>
            <w:tcW w:type="dxa" w:w="388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Current merchant tax configuration</w:t>
            </w:r>
          </w:p>
        </w:tc>
        <w:tc>
          <w:tcPr>
            <w:tcW w:type="dxa" w:w="194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VERIFIED_CURRENT</w:t>
            </w:r>
          </w:p>
        </w:tc>
      </w:tr>
      <w:tr>
        <w:tc>
          <w:tcPr>
            <w:tcW w:type="dxa" w:w="331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FSC certified</w:t>
            </w:r>
          </w:p>
        </w:tc>
        <w:tc>
          <w:tcPr>
            <w:tcW w:type="dxa" w:w="115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HARD</w:t>
            </w:r>
          </w:p>
        </w:tc>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Catalog missing; valid certificate available to Merchant Truth</w:t>
            </w:r>
          </w:p>
        </w:tc>
        <w:tc>
          <w:tcPr>
            <w:tcW w:type="dxa" w:w="19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UNKNOWN → resolvable</w:t>
            </w:r>
          </w:p>
        </w:tc>
      </w:tr>
    </w:tbl>
    <w:p>
      <w:pPr>
        <w:spacing w:after="20"/>
      </w:pPr>
    </w:p>
    <w:p>
      <w:pPr>
        <w:pStyle w:val="Heading2"/>
        <w:spacing w:before="200" w:after="100"/>
      </w:pPr>
      <w:r>
        <w:rPr>
          <w:rFonts w:ascii="Aptos" w:hAnsi="Aptos"/>
          <w:b/>
          <w:color w:val="1F5EFF"/>
          <w:sz w:val="27"/>
        </w:rPr>
        <w:t>4.2 Current authority for GST invoice capability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74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Field</w:t>
            </w:r>
          </w:p>
        </w:tc>
        <w:tc>
          <w:tcPr>
            <w:tcW w:type="dxa" w:w="648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Value</w:t>
            </w:r>
          </w:p>
        </w:tc>
      </w:tr>
      <w:tr>
        <w:tc>
          <w:tcPr>
            <w:tcW w:type="dxa" w:w="37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gst_registered</w:t>
            </w:r>
          </w:p>
        </w:tc>
        <w:tc>
          <w:tcPr>
            <w:tcW w:type="dxa" w:w="64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true</w:t>
            </w:r>
          </w:p>
        </w:tc>
      </w:tr>
      <w:tr>
        <w:tc>
          <w:tcPr>
            <w:tcW w:type="dxa" w:w="374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gstin</w:t>
            </w:r>
          </w:p>
        </w:tc>
        <w:tc>
          <w:tcPr>
            <w:tcW w:type="dxa" w:w="64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demo GSTIN stored in merchant setup</w:t>
            </w:r>
          </w:p>
        </w:tc>
      </w:tr>
      <w:tr>
        <w:tc>
          <w:tcPr>
            <w:tcW w:type="dxa" w:w="37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invoice_generation_enabled</w:t>
            </w:r>
          </w:p>
        </w:tc>
        <w:tc>
          <w:tcPr>
            <w:tcW w:type="dxa" w:w="64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true</w:t>
            </w:r>
          </w:p>
        </w:tc>
      </w:tr>
      <w:tr>
        <w:tc>
          <w:tcPr>
            <w:tcW w:type="dxa" w:w="374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source</w:t>
            </w:r>
          </w:p>
        </w:tc>
        <w:tc>
          <w:tcPr>
            <w:tcW w:type="dxa" w:w="64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merchant_tax_configuration</w:t>
            </w:r>
          </w:p>
        </w:tc>
      </w:tr>
      <w:tr>
        <w:tc>
          <w:tcPr>
            <w:tcW w:type="dxa" w:w="37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verification state</w:t>
            </w:r>
          </w:p>
        </w:tc>
        <w:tc>
          <w:tcPr>
            <w:tcW w:type="dxa" w:w="64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VERIFIED_CURRENT</w:t>
            </w:r>
          </w:p>
        </w:tc>
      </w:tr>
      <w:tr>
        <w:tc>
          <w:tcPr>
            <w:tcW w:type="dxa" w:w="374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verified_at</w:t>
            </w:r>
          </w:p>
        </w:tc>
        <w:tc>
          <w:tcPr>
            <w:tcW w:type="dxa" w:w="64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current merchant setup snapshot</w:t>
            </w:r>
          </w:p>
        </w:tc>
      </w:tr>
    </w:tbl>
    <w:p>
      <w:pPr>
        <w:spacing w:after="20"/>
      </w:pPr>
    </w:p>
    <w:p>
      <w:pPr>
        <w:spacing w:after="100" w:line="259" w:lineRule="auto"/>
      </w:pPr>
      <w:r>
        <w:rPr>
          <w:rFonts w:ascii="Aptos" w:hAnsi="Aptos"/>
          <w:b w:val="0"/>
          <w:i w:val="0"/>
          <w:color w:val="1D2733"/>
          <w:sz w:val="21"/>
        </w:rPr>
        <w:t>A historical invoice is not used to satisfy this requirement. It may be retained as historical evidence only.</w:t>
      </w:r>
    </w:p>
    <w:p>
      <w:pPr>
        <w:pStyle w:val="Heading2"/>
        <w:spacing w:before="200" w:after="100"/>
      </w:pPr>
      <w:r>
        <w:rPr>
          <w:rFonts w:ascii="Aptos" w:hAnsi="Aptos"/>
          <w:b/>
          <w:color w:val="1F5EFF"/>
          <w:sz w:val="27"/>
        </w:rPr>
        <w:t>4.3 Merchant Truth unblocks the FSC requirement legitimately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Extracted item</w:t>
            </w:r>
          </w:p>
        </w:tc>
        <w:tc>
          <w:tcPr>
            <w:tcW w:type="dxa" w:w="338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Value</w:t>
            </w:r>
          </w:p>
        </w:tc>
        <w:tc>
          <w:tcPr>
            <w:tcW w:type="dxa" w:w="439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Gate rule</w:t>
            </w:r>
          </w:p>
        </w:tc>
      </w:tr>
      <w:tr>
        <w:tc>
          <w:tcPr>
            <w:tcW w:type="dxa" w:w="24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Certificate subject/scope</w:t>
            </w:r>
          </w:p>
        </w:tc>
        <w:tc>
          <w:tcPr>
            <w:tcW w:type="dxa" w:w="338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Packaging supplier / relevant SKU family</w:t>
            </w:r>
          </w:p>
        </w:tc>
        <w:tc>
          <w:tcPr>
            <w:tcW w:type="dxa" w:w="43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Must match product/supplier mapping</w:t>
            </w:r>
          </w:p>
        </w:tc>
      </w:tr>
      <w:tr>
        <w:tc>
          <w:tcPr>
            <w:tcW w:type="dxa" w:w="24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Valid from</w:t>
            </w:r>
          </w:p>
        </w:tc>
        <w:tc>
          <w:tcPr>
            <w:tcW w:type="dxa" w:w="338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2026-04-01</w:t>
            </w:r>
          </w:p>
        </w:tc>
        <w:tc>
          <w:tcPr>
            <w:tcW w:type="dxa" w:w="439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Current date must be inside validity window</w:t>
            </w:r>
          </w:p>
        </w:tc>
      </w:tr>
      <w:tr>
        <w:tc>
          <w:tcPr>
            <w:tcW w:type="dxa" w:w="24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Valid until</w:t>
            </w:r>
          </w:p>
        </w:tc>
        <w:tc>
          <w:tcPr>
            <w:tcW w:type="dxa" w:w="338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2027-03-31</w:t>
            </w:r>
          </w:p>
        </w:tc>
        <w:tc>
          <w:tcPr>
            <w:tcW w:type="dxa" w:w="43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Current date must be inside validity window</w:t>
            </w:r>
          </w:p>
        </w:tc>
      </w:tr>
      <w:tr>
        <w:tc>
          <w:tcPr>
            <w:tcW w:type="dxa" w:w="24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Verification state</w:t>
            </w:r>
          </w:p>
        </w:tc>
        <w:tc>
          <w:tcPr>
            <w:tcW w:type="dxa" w:w="338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VERIFIED_CURRENT</w:t>
            </w:r>
          </w:p>
        </w:tc>
        <w:tc>
          <w:tcPr>
            <w:tcW w:type="dxa" w:w="439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Set by deterministic rule after extraction</w:t>
            </w:r>
          </w:p>
        </w:tc>
      </w:tr>
    </w:tbl>
    <w:p>
      <w:pPr>
        <w:spacing w:after="20"/>
      </w:pPr>
    </w:p>
    <w:p>
      <w:pPr>
        <w:spacing w:after="100" w:line="259" w:lineRule="auto"/>
      </w:pPr>
      <w:r>
        <w:rPr>
          <w:rFonts w:ascii="Aptos" w:hAnsi="Aptos"/>
          <w:b w:val="0"/>
          <w:i w:val="0"/>
          <w:color w:val="1D2733"/>
          <w:sz w:val="21"/>
        </w:rPr>
        <w:t>The VLM/parser extracts candidate fields and evidence spans. It does not emit a “0.99 probability” used for gating. A deterministic verifier checks dates, scope and authority. An expired or mismatched certificate leaves the HARD requirement unresolved.</w:t>
      </w:r>
    </w:p>
    <w:p>
      <w:pPr>
        <w:pStyle w:val="Heading2"/>
        <w:spacing w:before="200" w:after="100"/>
      </w:pPr>
      <w:r>
        <w:rPr>
          <w:rFonts w:ascii="Aptos" w:hAnsi="Aptos"/>
          <w:b/>
          <w:color w:val="1F5EFF"/>
          <w:sz w:val="27"/>
        </w:rPr>
        <w:t>4.4 Location-aware fulfilment state</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44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Node</w:t>
            </w:r>
          </w:p>
        </w:tc>
        <w:tc>
          <w:tcPr>
            <w:tcW w:type="dxa" w:w="180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Available stock</w:t>
            </w:r>
          </w:p>
        </w:tc>
        <w:tc>
          <w:tcPr>
            <w:tcW w:type="dxa" w:w="252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Economic fulfilment cost</w:t>
            </w:r>
          </w:p>
        </w:tc>
        <w:tc>
          <w:tcPr>
            <w:tcW w:type="dxa" w:w="345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Policy role</w:t>
            </w:r>
          </w:p>
        </w:tc>
      </w:tr>
      <w:tr>
        <w:tc>
          <w:tcPr>
            <w:tcW w:type="dxa" w:w="24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WH-MUM-CENTRAL</w:t>
            </w:r>
          </w:p>
        </w:tc>
        <w:tc>
          <w:tcPr>
            <w:tcW w:type="dxa" w:w="180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47 units</w:t>
            </w:r>
          </w:p>
        </w:tc>
        <w:tc>
          <w:tcPr>
            <w:tcW w:type="dxa" w:w="252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₹450</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Default B2B route; consistent central packing</w:t>
            </w:r>
          </w:p>
        </w:tc>
      </w:tr>
      <w:tr>
        <w:tc>
          <w:tcPr>
            <w:tcW w:type="dxa" w:w="24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WH-PNQ-EDGE</w:t>
            </w:r>
          </w:p>
        </w:tc>
        <w:tc>
          <w:tcPr>
            <w:tcW w:type="dxa" w:w="180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24 units</w:t>
            </w:r>
          </w:p>
        </w:tc>
        <w:tc>
          <w:tcPr>
            <w:tcW w:type="dxa" w:w="252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₹60</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Scarce local node reserved for urgent/local constraint recovery when capacity allows</w:t>
            </w:r>
          </w:p>
        </w:tc>
      </w:tr>
    </w:tbl>
    <w:p>
      <w:pPr>
        <w:spacing w:after="20"/>
      </w:pPr>
    </w:p>
    <w:p>
      <w:pPr>
        <w:spacing w:after="100" w:line="259" w:lineRule="auto"/>
      </w:pPr>
      <w:r>
        <w:rPr>
          <w:rFonts w:ascii="Aptos" w:hAnsi="Aptos"/>
          <w:b w:val="0"/>
          <w:i w:val="0"/>
          <w:color w:val="1D2733"/>
          <w:sz w:val="21"/>
        </w:rPr>
        <w:t>The local node is not the default because its stock and dispatch capacity are intentionally scarce. ShadowFunnel may use it only when the standard route would lose an otherwise valid buyer and the location/capacity policy allows the override. This is a fulfilment-routing decision, not a disguised discount.</w:t>
      </w:r>
    </w:p>
    <w:p>
      <w:pPr>
        <w:pStyle w:val="Heading2"/>
        <w:spacing w:before="200" w:after="100"/>
      </w:pPr>
      <w:r>
        <w:rPr>
          <w:rFonts w:ascii="Aptos" w:hAnsi="Aptos"/>
          <w:b/>
          <w:color w:val="1F5EFF"/>
          <w:sz w:val="27"/>
        </w:rPr>
        <w:t>4.5 Baseline — profitable for merchant, rejected by buyer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19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Line</w:t>
            </w:r>
          </w:p>
        </w:tc>
        <w:tc>
          <w:tcPr>
            <w:tcW w:type="dxa" w:w="403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Amount</w:t>
            </w:r>
          </w:p>
        </w:tc>
      </w:tr>
      <w:tr>
        <w:tc>
          <w:tcPr>
            <w:tcW w:type="dxa" w:w="61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20 × ₹399 merchandise</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₹7,980.00</w:t>
            </w:r>
          </w:p>
        </w:tc>
      </w:tr>
      <w:tr>
        <w:tc>
          <w:tcPr>
            <w:tcW w:type="dxa" w:w="619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Buyer shipping charge</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₹250.00</w:t>
            </w:r>
          </w:p>
        </w:tc>
      </w:tr>
      <w:tr>
        <w:tc>
          <w:tcPr>
            <w:tcW w:type="dxa" w:w="61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Gross customer payable</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₹8,230.00</w:t>
            </w:r>
          </w:p>
        </w:tc>
      </w:tr>
      <w:tr>
        <w:tc>
          <w:tcPr>
            <w:tcW w:type="dxa" w:w="619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Buyer hard ceiling</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₹8,000.00</w:t>
            </w:r>
          </w:p>
        </w:tc>
      </w:tr>
      <w:tr>
        <w:tc>
          <w:tcPr>
            <w:tcW w:type="dxa" w:w="619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Buyer result</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FAIL — ₹230 over mandate</w:t>
            </w:r>
          </w:p>
        </w:tc>
      </w:tr>
    </w:tbl>
    <w:p>
      <w:pPr>
        <w:spacing w:after="20"/>
      </w:pPr>
    </w:p>
    <w:p>
      <w:pPr>
        <w:spacing w:after="100" w:line="259" w:lineRule="auto"/>
      </w:pPr>
      <w:r>
        <w:rPr>
          <w:rFonts w:ascii="Aptos" w:hAnsi="Aptos"/>
          <w:b w:val="0"/>
          <w:i w:val="0"/>
          <w:color w:val="1D2733"/>
          <w:sz w:val="21"/>
        </w:rPr>
        <w:t>The baseline offer is not economically broken; it simply fails the buyer mandate. Its contribution margin is about 24.05% under the frozen demo assumptions, above the 22% merchant floor.</w:t>
      </w:r>
    </w:p>
    <w:p>
      <w:pPr>
        <w:pStyle w:val="Heading2"/>
        <w:spacing w:before="200" w:after="100"/>
      </w:pPr>
      <w:r>
        <w:rPr>
          <w:rFonts w:ascii="Aptos" w:hAnsi="Aptos"/>
          <w:b/>
          <w:color w:val="1F5EFF"/>
          <w:sz w:val="27"/>
        </w:rPr>
        <w:t>4.6 Candidate A — 3% merchandise discount, keep central express route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76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Calculation</w:t>
            </w:r>
          </w:p>
        </w:tc>
        <w:tc>
          <w:tcPr>
            <w:tcW w:type="dxa" w:w="345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Value</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Gross merchandise after 3% discount</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₹7,740.60</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Buyer shipping charge</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₹250.00</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Gross customer payable</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₹7,990.60</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Net sales revenue after 18% output GST</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₹6,771.69</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Economic COGS (₹5,428 gross less recoverable input GST)</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₹4,600.00</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Central express fulfilment</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₹450.00</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Economic processor cost @ 3%</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₹239.72</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Contribution</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₹1,481.98</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Contribution margin</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21.88%</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Policy result</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BLOCK — below 22% floor</w:t>
            </w:r>
          </w:p>
        </w:tc>
      </w:tr>
    </w:tbl>
    <w:p>
      <w:pPr>
        <w:spacing w:after="20"/>
      </w:pPr>
    </w:p>
    <w:p>
      <w:pPr>
        <w:pStyle w:val="Heading2"/>
        <w:spacing w:before="200" w:after="100"/>
      </w:pPr>
      <w:r>
        <w:rPr>
          <w:rFonts w:ascii="Aptos" w:hAnsi="Aptos"/>
          <w:b/>
          <w:color w:val="1F5EFF"/>
          <w:sz w:val="27"/>
        </w:rPr>
        <w:t>4.7 Candidate B — reroute to Pune local node, no product discount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676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Calculation</w:t>
            </w:r>
          </w:p>
        </w:tc>
        <w:tc>
          <w:tcPr>
            <w:tcW w:type="dxa" w:w="345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Value</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Gross customer payable</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₹7,980.00</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Net sales revenue after 18% output GST</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₹6,762.71</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Economic COGS</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₹4,600.00</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Pune local fulfilment</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₹60.00</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Economic processor cost @ 3%</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₹239.40</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Contribution</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₹1,863.31</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Contribution margin</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27.55%</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Merchant floor</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22.00%</w:t>
            </w:r>
          </w:p>
        </w:tc>
      </w:tr>
      <w:tr>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Headroom over floor</w:t>
            </w:r>
          </w:p>
        </w:tc>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5.55 percentage points</w:t>
            </w:r>
          </w:p>
        </w:tc>
      </w:tr>
      <w:tr>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Policy result</w:t>
            </w:r>
          </w:p>
        </w:tc>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ALLOW</w:t>
            </w:r>
          </w:p>
        </w:tc>
      </w:tr>
    </w:tbl>
    <w:p>
      <w:pPr>
        <w:spacing w:after="20"/>
      </w:pP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198754"/>
            <w:tcBorders>
              <w:top w:val="nil"/>
              <w:left w:val="nil"/>
              <w:bottom w:val="nil"/>
              <w:right w:val="nil"/>
            </w:tcBorders>
          </w:tcPr>
          <w:p/>
        </w:tc>
        <w:tc>
          <w:tcPr>
            <w:tcW w:type="dxa" w:w="5083"/>
            <w:shd w:fill="EEF9F3"/>
            <w:tcBorders>
              <w:top w:val="nil"/>
              <w:left w:val="nil"/>
              <w:bottom w:val="nil"/>
              <w:right w:val="nil"/>
            </w:tcBorders>
          </w:tcPr>
          <w:p>
            <w:pPr>
              <w:spacing w:after="40"/>
            </w:pPr>
            <w:r>
              <w:rPr>
                <w:rFonts w:ascii="Aptos" w:hAnsi="Aptos"/>
                <w:b/>
                <w:i w:val="0"/>
                <w:color w:val="198754"/>
                <w:sz w:val="21"/>
              </w:rPr>
              <w:t>WHY B IS GENUINELY DIFFERENT</w:t>
              <w:br/>
            </w:r>
            <w:r>
              <w:rPr>
                <w:rFonts w:ascii="Aptos" w:hAnsi="Aptos"/>
                <w:b w:val="0"/>
                <w:i w:val="0"/>
                <w:color w:val="1D2733"/>
                <w:sz w:val="20"/>
              </w:rPr>
              <w:t>Candidate B wins because the fulfilment topology changes the underlying merchant cost from ₹450 to ₹60. It is not “free shipping booked outside margin.” Every merchant-borne cost remains inside the same contribution formula.</w:t>
            </w:r>
          </w:p>
        </w:tc>
      </w:tr>
    </w:tbl>
    <w:p>
      <w:pPr>
        <w:spacing w:after="20"/>
      </w:pPr>
    </w:p>
    <w:p>
      <w:pPr>
        <w:pStyle w:val="Heading2"/>
        <w:spacing w:before="200" w:after="100"/>
      </w:pPr>
      <w:r>
        <w:rPr>
          <w:rFonts w:ascii="Aptos" w:hAnsi="Aptos"/>
          <w:b/>
          <w:color w:val="1F5EFF"/>
          <w:sz w:val="27"/>
        </w:rPr>
        <w:t>4.8 Sensitivity checks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403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Stress case</w:t>
            </w:r>
          </w:p>
        </w:tc>
        <w:tc>
          <w:tcPr>
            <w:tcW w:type="dxa" w:w="165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Candidate A</w:t>
            </w:r>
          </w:p>
        </w:tc>
        <w:tc>
          <w:tcPr>
            <w:tcW w:type="dxa" w:w="165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Candidate B</w:t>
            </w:r>
          </w:p>
        </w:tc>
        <w:tc>
          <w:tcPr>
            <w:tcW w:type="dxa" w:w="288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Decision stability</w:t>
            </w:r>
          </w:p>
        </w:tc>
      </w:tr>
      <w:tr>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Gateway-fee GST is NOT recoverable</w:t>
            </w:r>
          </w:p>
        </w:tc>
        <w:tc>
          <w:tcPr>
            <w:tcW w:type="dxa" w:w="16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21.25%</w:t>
            </w:r>
          </w:p>
        </w:tc>
        <w:tc>
          <w:tcPr>
            <w:tcW w:type="dxa" w:w="16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26.92%</w:t>
            </w:r>
          </w:p>
        </w:tc>
        <w:tc>
          <w:tcPr>
            <w:tcW w:type="dxa" w:w="28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 remains BLOCK; B remains ALLOW</w:t>
            </w:r>
          </w:p>
        </w:tc>
      </w:tr>
      <w:tr>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B break-even economic COGS at 22% floor</w:t>
            </w:r>
          </w:p>
        </w:tc>
        <w:tc>
          <w:tcPr>
            <w:tcW w:type="dxa" w:w="16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w:t>
            </w:r>
          </w:p>
        </w:tc>
        <w:tc>
          <w:tcPr>
            <w:tcW w:type="dxa" w:w="16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₹4,975.52</w:t>
            </w:r>
          </w:p>
        </w:tc>
        <w:tc>
          <w:tcPr>
            <w:tcW w:type="dxa" w:w="28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Demo COGS ₹4,600 has ₹375.52 / 8.16% headroom</w:t>
            </w:r>
          </w:p>
        </w:tc>
      </w:tr>
    </w:tbl>
    <w:p>
      <w:pPr>
        <w:spacing w:after="20"/>
      </w:pPr>
    </w:p>
    <w:p>
      <w:pPr>
        <w:spacing w:after="100" w:line="259" w:lineRule="auto"/>
      </w:pPr>
      <w:r>
        <w:rPr>
          <w:rFonts w:ascii="Aptos" w:hAnsi="Aptos"/>
          <w:b w:val="0"/>
          <w:i w:val="0"/>
          <w:color w:val="1D2733"/>
          <w:sz w:val="21"/>
        </w:rPr>
        <w:t>The stage demo therefore does not depend on an ₹82 accounting knife-edge. A judge can perturb the fee treatment and Candidate B still clears the safety floor.</w:t>
      </w:r>
    </w:p>
    <w:p>
      <w:pPr>
        <w:pStyle w:val="Heading1"/>
        <w:spacing w:before="280" w:after="140"/>
      </w:pPr>
      <w:r>
        <w:rPr>
          <w:rFonts w:ascii="Aptos" w:hAnsi="Aptos"/>
          <w:b/>
          <w:color w:val="132238"/>
          <w:sz w:val="38"/>
        </w:rPr>
        <w:t>5. HARD / SOFT UNKNOWN and Merchant Truth</w:t>
      </w:r>
    </w:p>
    <w:p>
      <w:pPr>
        <w:pStyle w:val="Heading2"/>
        <w:spacing w:before="200" w:after="100"/>
      </w:pPr>
      <w:r>
        <w:rPr>
          <w:rFonts w:ascii="Aptos" w:hAnsi="Aptos"/>
          <w:b/>
          <w:color w:val="1F5EFF"/>
          <w:sz w:val="27"/>
        </w:rPr>
        <w:t>5.1 Eligibility semantics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Requirement type</w:t>
            </w:r>
          </w:p>
        </w:tc>
        <w:tc>
          <w:tcPr>
            <w:tcW w:type="dxa" w:w="244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PASS</w:t>
            </w:r>
          </w:p>
        </w:tc>
        <w:tc>
          <w:tcPr>
            <w:tcW w:type="dxa" w:w="388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UNKNOWN</w:t>
            </w:r>
          </w:p>
        </w:tc>
        <w:tc>
          <w:tcPr>
            <w:tcW w:type="dxa" w:w="288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FAIL</w:t>
            </w:r>
          </w:p>
        </w:tc>
      </w:tr>
      <w:tr>
        <w:tc>
          <w:tcPr>
            <w:tcW w:type="dxa" w:w="180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HARD</w:t>
            </w:r>
          </w:p>
        </w:tc>
        <w:tc>
          <w:tcPr>
            <w:tcW w:type="dxa" w:w="24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Eligible on that constraint</w:t>
            </w:r>
          </w:p>
        </w:tc>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INELIGIBLE_PENDING_EVIDENCE; no final offer/payment</w:t>
            </w:r>
          </w:p>
        </w:tc>
        <w:tc>
          <w:tcPr>
            <w:tcW w:type="dxa" w:w="28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Ineligible unless a permitted intervention changes the fact</w:t>
            </w:r>
          </w:p>
        </w:tc>
      </w:tr>
      <w:tr>
        <w:tc>
          <w:tcPr>
            <w:tcW w:type="dxa" w:w="180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SOFT</w:t>
            </w:r>
          </w:p>
        </w:tc>
        <w:tc>
          <w:tcPr>
            <w:tcW w:type="dxa" w:w="24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May improve ranking</w:t>
            </w:r>
          </w:p>
        </w:tc>
        <w:tc>
          <w:tcPr>
            <w:tcW w:type="dxa" w:w="388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Candidate may remain, but unknown attribute is not claimed</w:t>
            </w:r>
          </w:p>
        </w:tc>
        <w:tc>
          <w:tcPr>
            <w:tcW w:type="dxa" w:w="28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Candidate may remain with ranking penalty unless buyer made it hard</w:t>
            </w:r>
          </w:p>
        </w:tc>
      </w:tr>
    </w:tbl>
    <w:p>
      <w:pPr>
        <w:spacing w:after="20"/>
      </w:pPr>
    </w:p>
    <w:p>
      <w:pPr>
        <w:pStyle w:val="Heading2"/>
        <w:spacing w:before="200" w:after="100"/>
      </w:pPr>
      <w:r>
        <w:rPr>
          <w:rFonts w:ascii="Aptos" w:hAnsi="Aptos"/>
          <w:b/>
          <w:color w:val="1F5EFF"/>
          <w:sz w:val="27"/>
        </w:rPr>
        <w:t>5.2 Evidence classes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44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Evidence class</w:t>
            </w:r>
          </w:p>
        </w:tc>
        <w:tc>
          <w:tcPr>
            <w:tcW w:type="dxa" w:w="302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Can satisfy HARD current fact?</w:t>
            </w:r>
          </w:p>
        </w:tc>
        <w:tc>
          <w:tcPr>
            <w:tcW w:type="dxa" w:w="453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Example</w:t>
            </w:r>
          </w:p>
        </w:tc>
      </w:tr>
      <w:tr>
        <w:tc>
          <w:tcPr>
            <w:tcW w:type="dxa" w:w="24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CURRENT_STATE</w:t>
            </w:r>
          </w:p>
        </w:tc>
        <w:tc>
          <w:tcPr>
            <w:tcW w:type="dxa" w:w="30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Yes, within freshness/authority rule</w:t>
            </w:r>
          </w:p>
        </w:tc>
        <w:tc>
          <w:tcPr>
            <w:tcW w:type="dxa" w:w="453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Current merchant tax config; current inventory API</w:t>
            </w:r>
          </w:p>
        </w:tc>
      </w:tr>
      <w:tr>
        <w:tc>
          <w:tcPr>
            <w:tcW w:type="dxa" w:w="24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TIME_BOUNDED_CREDENTIAL</w:t>
            </w:r>
          </w:p>
        </w:tc>
        <w:tc>
          <w:tcPr>
            <w:tcW w:type="dxa" w:w="30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Yes, while valid and in scope</w:t>
            </w:r>
          </w:p>
        </w:tc>
        <w:tc>
          <w:tcPr>
            <w:tcW w:type="dxa" w:w="453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FSC certificate valid until 2027-03-31</w:t>
            </w:r>
          </w:p>
        </w:tc>
      </w:tr>
      <w:tr>
        <w:tc>
          <w:tcPr>
            <w:tcW w:type="dxa" w:w="24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CURRENT_POLICY</w:t>
            </w:r>
          </w:p>
        </w:tc>
        <w:tc>
          <w:tcPr>
            <w:tcW w:type="dxa" w:w="30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Yes, if effective and not superseded</w:t>
            </w:r>
          </w:p>
        </w:tc>
        <w:tc>
          <w:tcPr>
            <w:tcW w:type="dxa" w:w="453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Shipping policy v8 effective 2026-09-01</w:t>
            </w:r>
          </w:p>
        </w:tc>
      </w:tr>
      <w:tr>
        <w:tc>
          <w:tcPr>
            <w:tcW w:type="dxa" w:w="24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HISTORICAL_EVENT</w:t>
            </w:r>
          </w:p>
        </w:tc>
        <w:tc>
          <w:tcPr>
            <w:tcW w:type="dxa" w:w="30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No, by itself</w:t>
            </w:r>
          </w:p>
        </w:tc>
        <w:tc>
          <w:tcPr>
            <w:tcW w:type="dxa" w:w="453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Old GST invoice; prior delivery receipt</w:t>
            </w:r>
          </w:p>
        </w:tc>
      </w:tr>
    </w:tbl>
    <w:p>
      <w:pPr>
        <w:spacing w:after="20"/>
      </w:pPr>
    </w:p>
    <w:p>
      <w:pPr>
        <w:pStyle w:val="Heading2"/>
        <w:spacing w:before="200" w:after="100"/>
      </w:pPr>
      <w:r>
        <w:rPr>
          <w:rFonts w:ascii="Aptos" w:hAnsi="Aptos"/>
          <w:b/>
          <w:color w:val="1F5EFF"/>
          <w:sz w:val="27"/>
        </w:rPr>
        <w:t>5.3 Predicate-specific verification</w:t>
      </w:r>
    </w:p>
    <w:p>
      <w:pPr>
        <w:spacing w:after="100" w:line="259" w:lineRule="auto"/>
      </w:pPr>
      <w:r>
        <w:rPr>
          <w:rFonts w:ascii="Aptos" w:hAnsi="Aptos"/>
          <w:b w:val="0"/>
          <w:i w:val="0"/>
          <w:color w:val="1D2733"/>
          <w:sz w:val="21"/>
        </w:rPr>
        <w:t>Merchant Truth is not “upload a PDF and trust the LLM.” Each hard predicate has an evidence policy specifying acceptable source types, authority, freshness, scope and deterministic verification rules. The model only extracts candidates.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0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Predicate</w:t>
            </w:r>
          </w:p>
        </w:tc>
        <w:tc>
          <w:tcPr>
            <w:tcW w:type="dxa" w:w="468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Acceptable current authority</w:t>
            </w:r>
          </w:p>
        </w:tc>
        <w:tc>
          <w:tcPr>
            <w:tcW w:type="dxa" w:w="302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Rejected shortcut</w:t>
            </w:r>
          </w:p>
        </w:tc>
      </w:tr>
      <w:tr>
        <w:tc>
          <w:tcPr>
            <w:tcW w:type="dxa" w:w="230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GST_INVOICE_AVAILABLE</w:t>
            </w:r>
          </w:p>
        </w:tc>
        <w:tc>
          <w:tcPr>
            <w:tcW w:type="dxa" w:w="46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merchant_tax_configuration with invoice generation enabled</w:t>
            </w:r>
          </w:p>
        </w:tc>
        <w:tc>
          <w:tcPr>
            <w:tcW w:type="dxa" w:w="30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Old invoice implies future capability</w:t>
            </w:r>
          </w:p>
        </w:tc>
      </w:tr>
      <w:tr>
        <w:tc>
          <w:tcPr>
            <w:tcW w:type="dxa" w:w="230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FSC_CERTIFIED</w:t>
            </w:r>
          </w:p>
        </w:tc>
        <w:tc>
          <w:tcPr>
            <w:tcW w:type="dxa" w:w="46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in-scope certificate whose validity window includes current date</w:t>
            </w:r>
          </w:p>
        </w:tc>
        <w:tc>
          <w:tcPr>
            <w:tcW w:type="dxa" w:w="30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Undated supplier marketing screenshot</w:t>
            </w:r>
          </w:p>
        </w:tc>
      </w:tr>
      <w:tr>
        <w:tc>
          <w:tcPr>
            <w:tcW w:type="dxa" w:w="230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INVENTORY_AT_LOCATION</w:t>
            </w:r>
          </w:p>
        </w:tc>
        <w:tc>
          <w:tcPr>
            <w:tcW w:type="dxa" w:w="46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inventory source within configured TTL</w:t>
            </w:r>
          </w:p>
        </w:tc>
        <w:tc>
          <w:tcPr>
            <w:tcW w:type="dxa" w:w="30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Month-old spreadsheet</w:t>
            </w:r>
          </w:p>
        </w:tc>
      </w:tr>
      <w:tr>
        <w:tc>
          <w:tcPr>
            <w:tcW w:type="dxa" w:w="230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DELIVERY_SLA</w:t>
            </w:r>
          </w:p>
        </w:tc>
        <w:tc>
          <w:tcPr>
            <w:tcW w:type="dxa" w:w="46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effective current policy / carrier API / operational override</w:t>
            </w:r>
          </w:p>
        </w:tc>
        <w:tc>
          <w:tcPr>
            <w:tcW w:type="dxa" w:w="30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Older superseded PDF</w:t>
            </w:r>
          </w:p>
        </w:tc>
      </w:tr>
    </w:tbl>
    <w:p>
      <w:pPr>
        <w:spacing w:after="20"/>
      </w:pPr>
    </w:p>
    <w:p>
      <w:pPr>
        <w:pStyle w:val="Heading1"/>
        <w:spacing w:before="280" w:after="140"/>
      </w:pPr>
      <w:r>
        <w:rPr>
          <w:rFonts w:ascii="Aptos" w:hAnsi="Aptos"/>
          <w:b/>
          <w:color w:val="132238"/>
          <w:sz w:val="38"/>
        </w:rPr>
        <w:t>6. Location-Aware Atomic Inventory Reservation</w:t>
      </w:r>
    </w:p>
    <w:p>
      <w:pPr>
        <w:spacing w:after="100" w:line="259" w:lineRule="auto"/>
      </w:pPr>
      <w:r>
        <w:rPr>
          <w:rFonts w:ascii="Aptos" w:hAnsi="Aptos"/>
          <w:b w:val="0"/>
          <w:i w:val="0"/>
          <w:color w:val="1D2733"/>
          <w:sz w:val="21"/>
        </w:rPr>
        <w:t>A stock read followed by later payment creation is not sufficient. The policy-pass transition must reserve the exact SKU at the exact fulfilment node, plus any constrained dispatch capacity, atomically.</w:t>
      </w:r>
    </w:p>
    <w:tbl>
      <w:tblPr>
        <w:tblW w:type="auto" w:w="0"/>
        <w:jc w:val="center"/>
        <w:tblLook w:firstColumn="1" w:firstRow="1" w:lastColumn="0" w:lastRow="0" w:noHBand="0" w:noVBand="1" w:val="04A0"/>
      </w:tblPr>
      <w:tblGrid>
        <w:gridCol w:w="10166"/>
      </w:tblGrid>
      <w:tr>
        <w:tc>
          <w:tcPr>
            <w:tcW w:type="dxa" w:w="10166"/>
            <w:shd w:fill="F2F4F7"/>
            <w:tcBorders>
              <w:top w:val="single" w:sz="4" w:color="D0D5DD"/>
              <w:left w:val="single" w:sz="4" w:color="D0D5DD"/>
              <w:bottom w:val="single" w:sz="4" w:color="D0D5DD"/>
              <w:right w:val="single" w:sz="4" w:color="D0D5DD"/>
            </w:tcBorders>
          </w:tcPr>
          <w:p>
            <w:pPr>
              <w:spacing w:after="0"/>
            </w:pPr>
            <w:r>
              <w:rPr>
                <w:rFonts w:ascii="Liberation Mono" w:hAnsi="Liberation Mono"/>
                <w:color w:val="1D2733"/>
                <w:sz w:val="17"/>
              </w:rPr>
              <w:t>UPDATE inventory_location</w:t>
              <w:br/>
            </w:r>
            <w:r>
              <w:rPr>
                <w:rFonts w:ascii="Liberation Mono" w:hAnsi="Liberation Mono"/>
                <w:color w:val="1D2733"/>
                <w:sz w:val="17"/>
              </w:rPr>
              <w:t>SET reserved_qty = reserved_qty + :qty</w:t>
              <w:br/>
            </w:r>
            <w:r>
              <w:rPr>
                <w:rFonts w:ascii="Liberation Mono" w:hAnsi="Liberation Mono"/>
                <w:color w:val="1D2733"/>
                <w:sz w:val="17"/>
              </w:rPr>
              <w:t>WHERE sku = :sku</w:t>
              <w:br/>
            </w:r>
            <w:r>
              <w:rPr>
                <w:rFonts w:ascii="Liberation Mono" w:hAnsi="Liberation Mono"/>
                <w:color w:val="1D2733"/>
                <w:sz w:val="17"/>
              </w:rPr>
              <w:t xml:space="preserve">  AND location_id = :location_id</w:t>
              <w:br/>
            </w:r>
            <w:r>
              <w:rPr>
                <w:rFonts w:ascii="Liberation Mono" w:hAnsi="Liberation Mono"/>
                <w:color w:val="1D2733"/>
                <w:sz w:val="17"/>
              </w:rPr>
              <w:t xml:space="preserve">  AND on_hand_qty - reserved_qty &gt;= :qty</w:t>
              <w:br/>
            </w:r>
            <w:r>
              <w:rPr>
                <w:rFonts w:ascii="Liberation Mono" w:hAnsi="Liberation Mono"/>
                <w:color w:val="1D2733"/>
                <w:sz w:val="17"/>
              </w:rPr>
              <w:t>RETURNING location_id, reserved_qty;</w:t>
            </w:r>
          </w:p>
        </w:tc>
      </w:tr>
    </w:tbl>
    <w:p>
      <w:pPr>
        <w:spacing w:after="20"/>
      </w:pPr>
    </w:p>
    <w:p>
      <w:pPr>
        <w:pStyle w:val="ListBullet"/>
        <w:spacing w:after="40"/>
      </w:pPr>
      <w:r>
        <w:rPr>
          <w:rFonts w:ascii="Aptos" w:hAnsi="Aptos"/>
          <w:b w:val="0"/>
          <w:i w:val="0"/>
          <w:color w:val="1D2733"/>
          <w:sz w:val="21"/>
        </w:rPr>
        <w:t>Require exactly one successful returned row; otherwise the candidate fails and must be re-planned.</w:t>
      </w:r>
    </w:p>
    <w:p>
      <w:pPr>
        <w:pStyle w:val="ListBullet"/>
        <w:spacing w:after="40"/>
      </w:pPr>
      <w:r>
        <w:rPr>
          <w:rFonts w:ascii="Aptos" w:hAnsi="Aptos"/>
          <w:b w:val="0"/>
          <w:i w:val="0"/>
          <w:color w:val="1D2733"/>
          <w:sz w:val="21"/>
        </w:rPr>
        <w:t>Reservation stores offer_id, location_id, quantity, expires_at and status.</w:t>
      </w:r>
    </w:p>
    <w:p>
      <w:pPr>
        <w:pStyle w:val="ListBullet"/>
        <w:spacing w:after="40"/>
      </w:pPr>
      <w:r>
        <w:rPr>
          <w:rFonts w:ascii="Aptos" w:hAnsi="Aptos"/>
          <w:b w:val="0"/>
          <w:i w:val="0"/>
          <w:color w:val="1D2733"/>
          <w:sz w:val="21"/>
        </w:rPr>
        <w:t>A separate capacity reservation protects scarce local dispatch slots if modelled.</w:t>
      </w:r>
    </w:p>
    <w:p>
      <w:pPr>
        <w:pStyle w:val="ListBullet"/>
        <w:spacing w:after="40"/>
      </w:pPr>
      <w:r>
        <w:rPr>
          <w:rFonts w:ascii="Aptos" w:hAnsi="Aptos"/>
          <w:b w:val="0"/>
          <w:i w:val="0"/>
          <w:color w:val="1D2733"/>
          <w:sz w:val="21"/>
        </w:rPr>
        <w:t>Payment success commits the reservation to sold/allocated inventory.</w:t>
      </w:r>
    </w:p>
    <w:p>
      <w:pPr>
        <w:pStyle w:val="ListBullet"/>
        <w:spacing w:after="40"/>
      </w:pPr>
      <w:r>
        <w:rPr>
          <w:rFonts w:ascii="Aptos" w:hAnsi="Aptos"/>
          <w:b w:val="0"/>
          <w:i w:val="0"/>
          <w:color w:val="1D2733"/>
          <w:sz w:val="21"/>
        </w:rPr>
        <w:t>Failed/abandoned checkout releases on TTL expiry.</w:t>
      </w:r>
    </w:p>
    <w:p>
      <w:pPr>
        <w:pStyle w:val="ListBullet"/>
        <w:spacing w:after="40"/>
      </w:pPr>
      <w:r>
        <w:rPr>
          <w:rFonts w:ascii="Aptos" w:hAnsi="Aptos"/>
          <w:b w:val="0"/>
          <w:i w:val="0"/>
          <w:color w:val="1D2733"/>
          <w:sz w:val="21"/>
        </w:rPr>
        <w:t>If a payment arrives after reservation expiry, move to PAID_REQUIRES_RECONCILIATION; never silently fulfil unavailable stock.</w:t>
      </w:r>
    </w:p>
    <w:p>
      <w:pPr>
        <w:pStyle w:val="Heading1"/>
        <w:spacing w:before="280" w:after="140"/>
      </w:pPr>
      <w:r>
        <w:rPr>
          <w:rFonts w:ascii="Aptos" w:hAnsi="Aptos"/>
          <w:b/>
          <w:color w:val="132238"/>
          <w:sz w:val="38"/>
        </w:rPr>
        <w:t>7. Razorpay Payment Path — Demo-Safe and Production-Shaped</w:t>
      </w:r>
    </w:p>
    <w:p>
      <w:pPr>
        <w:pStyle w:val="Heading2"/>
        <w:spacing w:before="200" w:after="100"/>
      </w:pPr>
      <w:r>
        <w:rPr>
          <w:rFonts w:ascii="Aptos" w:hAnsi="Aptos"/>
          <w:b/>
          <w:color w:val="1F5EFF"/>
          <w:sz w:val="27"/>
        </w:rPr>
        <w:t>7.1 Offer/policy binding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46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policy_decision_id must bind to</w:t>
            </w:r>
          </w:p>
        </w:tc>
        <w:tc>
          <w:tcPr>
            <w:tcW w:type="dxa" w:w="576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Purpose</w:t>
            </w:r>
          </w:p>
        </w:tc>
      </w:tr>
      <w:tr>
        <w:tc>
          <w:tcPr>
            <w:tcW w:type="dxa" w:w="446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offer_id + offer_version/hash</w:t>
            </w:r>
          </w:p>
        </w:tc>
        <w:tc>
          <w:tcPr>
            <w:tcW w:type="dxa" w:w="576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Prevents reusing approval on a modified offer</w:t>
            </w:r>
          </w:p>
        </w:tc>
      </w:tr>
      <w:tr>
        <w:tc>
          <w:tcPr>
            <w:tcW w:type="dxa" w:w="446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exact line items + quantities</w:t>
            </w:r>
          </w:p>
        </w:tc>
        <w:tc>
          <w:tcPr>
            <w:tcW w:type="dxa" w:w="576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Prevents quantity drift</w:t>
            </w:r>
          </w:p>
        </w:tc>
      </w:tr>
      <w:tr>
        <w:tc>
          <w:tcPr>
            <w:tcW w:type="dxa" w:w="446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gross amount + currency</w:t>
            </w:r>
          </w:p>
        </w:tc>
        <w:tc>
          <w:tcPr>
            <w:tcW w:type="dxa" w:w="576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Prevents ₹7,980 approval authorizing another amount</w:t>
            </w:r>
          </w:p>
        </w:tc>
      </w:tr>
      <w:tr>
        <w:tc>
          <w:tcPr>
            <w:tcW w:type="dxa" w:w="446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fulfilment location + reservation_id</w:t>
            </w:r>
          </w:p>
        </w:tc>
        <w:tc>
          <w:tcPr>
            <w:tcW w:type="dxa" w:w="576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Prevents switching to unreserved stock</w:t>
            </w:r>
          </w:p>
        </w:tc>
      </w:tr>
      <w:tr>
        <w:tc>
          <w:tcPr>
            <w:tcW w:type="dxa" w:w="446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tax snapshot + fee policy version</w:t>
            </w:r>
          </w:p>
        </w:tc>
        <w:tc>
          <w:tcPr>
            <w:tcW w:type="dxa" w:w="576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Makes margin calculation reproducible</w:t>
            </w:r>
          </w:p>
        </w:tc>
      </w:tr>
      <w:tr>
        <w:tc>
          <w:tcPr>
            <w:tcW w:type="dxa" w:w="446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expires_at</w:t>
            </w:r>
          </w:p>
        </w:tc>
        <w:tc>
          <w:tcPr>
            <w:tcW w:type="dxa" w:w="576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Expired offer cannot create a payment order</w:t>
            </w:r>
          </w:p>
        </w:tc>
      </w:tr>
    </w:tbl>
    <w:p>
      <w:pPr>
        <w:spacing w:after="20"/>
      </w:pPr>
    </w:p>
    <w:p>
      <w:pPr>
        <w:pStyle w:val="Heading2"/>
        <w:spacing w:before="200" w:after="100"/>
      </w:pPr>
      <w:r>
        <w:rPr>
          <w:rFonts w:ascii="Aptos" w:hAnsi="Aptos"/>
          <w:b/>
          <w:color w:val="1F5EFF"/>
          <w:sz w:val="27"/>
        </w:rPr>
        <w:t>7.2 Payment state machine</w:t>
      </w:r>
    </w:p>
    <w:tbl>
      <w:tblPr>
        <w:tblW w:type="auto" w:w="0"/>
        <w:jc w:val="center"/>
        <w:tblLook w:firstColumn="1" w:firstRow="1" w:lastColumn="0" w:lastRow="0" w:noHBand="0" w:noVBand="1" w:val="04A0"/>
      </w:tblPr>
      <w:tblGrid>
        <w:gridCol w:w="10166"/>
      </w:tblGrid>
      <w:tr>
        <w:tc>
          <w:tcPr>
            <w:tcW w:type="dxa" w:w="10166"/>
            <w:shd w:fill="F2F4F7"/>
            <w:tcBorders>
              <w:top w:val="single" w:sz="4" w:color="D0D5DD"/>
              <w:left w:val="single" w:sz="4" w:color="D0D5DD"/>
              <w:bottom w:val="single" w:sz="4" w:color="D0D5DD"/>
              <w:right w:val="single" w:sz="4" w:color="D0D5DD"/>
            </w:tcBorders>
          </w:tcPr>
          <w:p>
            <w:pPr>
              <w:spacing w:after="0"/>
            </w:pPr>
            <w:r>
              <w:rPr>
                <w:rFonts w:ascii="Liberation Mono" w:hAnsi="Liberation Mono"/>
                <w:color w:val="1D2733"/>
                <w:sz w:val="17"/>
              </w:rPr>
              <w:t>OFFER_ACCEPTED</w:t>
              <w:br/>
            </w:r>
            <w:r>
              <w:rPr>
                <w:rFonts w:ascii="Liberation Mono" w:hAnsi="Liberation Mono"/>
                <w:color w:val="1D2733"/>
                <w:sz w:val="17"/>
              </w:rPr>
              <w:t xml:space="preserve">  → POLICY_PASS</w:t>
              <w:br/>
            </w:r>
            <w:r>
              <w:rPr>
                <w:rFonts w:ascii="Liberation Mono" w:hAnsi="Liberation Mono"/>
                <w:color w:val="1D2733"/>
                <w:sz w:val="17"/>
              </w:rPr>
              <w:t xml:space="preserve">  → INVENTORY_RESERVED</w:t>
              <w:br/>
            </w:r>
            <w:r>
              <w:rPr>
                <w:rFonts w:ascii="Liberation Mono" w:hAnsi="Liberation Mono"/>
                <w:color w:val="1D2733"/>
                <w:sz w:val="17"/>
              </w:rPr>
              <w:t xml:space="preserve">  → RAZORPAY_ORDER_CREATED</w:t>
              <w:br/>
            </w:r>
            <w:r>
              <w:rPr>
                <w:rFonts w:ascii="Liberation Mono" w:hAnsi="Liberation Mono"/>
                <w:color w:val="1D2733"/>
                <w:sz w:val="17"/>
              </w:rPr>
              <w:t xml:space="preserve">  → CHECKOUT_RETURNED</w:t>
              <w:br/>
            </w:r>
            <w:r>
              <w:rPr>
                <w:rFonts w:ascii="Liberation Mono" w:hAnsi="Liberation Mono"/>
                <w:color w:val="1D2733"/>
                <w:sz w:val="17"/>
              </w:rPr>
              <w:t xml:space="preserve">  → CHECKOUT_SIGNATURE_VERIFIED</w:t>
              <w:br/>
            </w:r>
            <w:r>
              <w:rPr>
                <w:rFonts w:ascii="Liberation Mono" w:hAnsi="Liberation Mono"/>
                <w:color w:val="1D2733"/>
                <w:sz w:val="17"/>
              </w:rPr>
              <w:t xml:space="preserve">  → SERVER_STATUS_VERIFIED</w:t>
              <w:br/>
            </w:r>
            <w:r>
              <w:rPr>
                <w:rFonts w:ascii="Liberation Mono" w:hAnsi="Liberation Mono"/>
                <w:color w:val="1D2733"/>
                <w:sz w:val="17"/>
              </w:rPr>
              <w:t xml:space="preserve">  → PAYMENT_CAPTURED / ORDER_PAID</w:t>
              <w:br/>
            </w:r>
            <w:r>
              <w:rPr>
                <w:rFonts w:ascii="Liberation Mono" w:hAnsi="Liberation Mono"/>
                <w:color w:val="1D2733"/>
                <w:sz w:val="17"/>
              </w:rPr>
              <w:t xml:space="preserve">  → FULFILMENT_ALLOWED</w:t>
            </w:r>
          </w:p>
        </w:tc>
      </w:tr>
    </w:tbl>
    <w:p>
      <w:pPr>
        <w:spacing w:after="20"/>
      </w:pPr>
    </w:p>
    <w:p>
      <w:pPr>
        <w:spacing w:after="100" w:line="259" w:lineRule="auto"/>
      </w:pPr>
      <w:r>
        <w:rPr>
          <w:rFonts w:ascii="Aptos" w:hAnsi="Aptos"/>
          <w:b w:val="0"/>
          <w:i w:val="0"/>
          <w:color w:val="1D2733"/>
          <w:sz w:val="21"/>
        </w:rPr>
        <w:t>Razorpay documents Order creation on the server, mandatory Checkout signature verification, and checking payment/order status before providing service. For a five-minute demo, immediately fetch payment/order status after the Checkout return; use signed webhooks as the durable asynchronous backstop.</w:t>
      </w:r>
    </w:p>
    <w:p>
      <w:pPr>
        <w:pStyle w:val="Heading2"/>
        <w:spacing w:before="200" w:after="100"/>
      </w:pPr>
      <w:r>
        <w:rPr>
          <w:rFonts w:ascii="Aptos" w:hAnsi="Aptos"/>
          <w:b/>
          <w:color w:val="1F5EFF"/>
          <w:sz w:val="27"/>
        </w:rPr>
        <w:t>7.3 Synchronous demo confirmation</w:t>
      </w:r>
    </w:p>
    <w:p>
      <w:pPr>
        <w:pStyle w:val="ListNumber"/>
        <w:spacing w:after="40"/>
      </w:pPr>
      <w:r>
        <w:rPr>
          <w:rFonts w:ascii="Aptos" w:hAnsi="Aptos"/>
          <w:b w:val="0"/>
          <w:i w:val="0"/>
          <w:color w:val="1D2733"/>
          <w:sz w:val="21"/>
        </w:rPr>
        <w:t>Client returns razorpay_payment_id, razorpay_order_id and razorpay_signature.</w:t>
      </w:r>
    </w:p>
    <w:p>
      <w:pPr>
        <w:pStyle w:val="ListNumber"/>
        <w:spacing w:after="40"/>
      </w:pPr>
      <w:r>
        <w:rPr>
          <w:rFonts w:ascii="Aptos" w:hAnsi="Aptos"/>
          <w:b w:val="0"/>
          <w:i w:val="0"/>
          <w:color w:val="1D2733"/>
          <w:sz w:val="21"/>
        </w:rPr>
        <w:t>Server verifies Checkout signature using the server-stored order_id and key secret.</w:t>
      </w:r>
    </w:p>
    <w:p>
      <w:pPr>
        <w:pStyle w:val="ListNumber"/>
        <w:spacing w:after="40"/>
      </w:pPr>
      <w:r>
        <w:rPr>
          <w:rFonts w:ascii="Aptos" w:hAnsi="Aptos"/>
          <w:b w:val="0"/>
          <w:i w:val="0"/>
          <w:color w:val="1D2733"/>
          <w:sz w:val="21"/>
        </w:rPr>
        <w:t>Server fetches the Payment/Order from Razorpay.</w:t>
      </w:r>
    </w:p>
    <w:p>
      <w:pPr>
        <w:pStyle w:val="ListNumber"/>
        <w:spacing w:after="40"/>
      </w:pPr>
      <w:r>
        <w:rPr>
          <w:rFonts w:ascii="Aptos" w:hAnsi="Aptos"/>
          <w:b w:val="0"/>
          <w:i w:val="0"/>
          <w:color w:val="1D2733"/>
          <w:sz w:val="21"/>
        </w:rPr>
        <w:t>Verify server-stored order id, expected amount, currency and captured/paid state.</w:t>
      </w:r>
    </w:p>
    <w:p>
      <w:pPr>
        <w:pStyle w:val="ListNumber"/>
        <w:spacing w:after="40"/>
      </w:pPr>
      <w:r>
        <w:rPr>
          <w:rFonts w:ascii="Aptos" w:hAnsi="Aptos"/>
          <w:b w:val="0"/>
          <w:i w:val="0"/>
          <w:color w:val="1D2733"/>
          <w:sz w:val="21"/>
        </w:rPr>
        <w:t>Only then show “Payment confirmed” and allow fulfilment.</w:t>
      </w:r>
    </w:p>
    <w:p>
      <w:pPr>
        <w:pStyle w:val="Heading2"/>
        <w:spacing w:before="200" w:after="100"/>
      </w:pPr>
      <w:r>
        <w:rPr>
          <w:rFonts w:ascii="Aptos" w:hAnsi="Aptos"/>
          <w:b/>
          <w:color w:val="1F5EFF"/>
          <w:sz w:val="27"/>
        </w:rPr>
        <w:t>7.4 Webhook backstop</w:t>
      </w:r>
    </w:p>
    <w:p>
      <w:pPr>
        <w:pStyle w:val="ListBullet"/>
        <w:spacing w:after="40"/>
      </w:pPr>
      <w:r>
        <w:rPr>
          <w:rFonts w:ascii="Aptos" w:hAnsi="Aptos"/>
          <w:b w:val="0"/>
          <w:i w:val="0"/>
          <w:color w:val="1D2733"/>
          <w:sz w:val="21"/>
        </w:rPr>
        <w:t>Read the RAW request body before any JSON parsing.</w:t>
      </w:r>
    </w:p>
    <w:p>
      <w:pPr>
        <w:pStyle w:val="ListBullet"/>
        <w:spacing w:after="40"/>
      </w:pPr>
      <w:r>
        <w:rPr>
          <w:rFonts w:ascii="Aptos" w:hAnsi="Aptos"/>
          <w:b w:val="0"/>
          <w:i w:val="0"/>
          <w:color w:val="1D2733"/>
          <w:sz w:val="21"/>
        </w:rPr>
        <w:t>Verify X-Razorpay-Signature with HMAC-SHA256 and the webhook secret.</w:t>
      </w:r>
    </w:p>
    <w:p>
      <w:pPr>
        <w:pStyle w:val="ListBullet"/>
        <w:spacing w:after="40"/>
      </w:pPr>
      <w:r>
        <w:rPr>
          <w:rFonts w:ascii="Aptos" w:hAnsi="Aptos"/>
          <w:b w:val="0"/>
          <w:i w:val="0"/>
          <w:color w:val="1D2733"/>
          <w:sz w:val="21"/>
        </w:rPr>
        <w:t>Use x-razorpay-event-id for duplicate detection; delivery is at-least-once and event order is not guaranteed.</w:t>
      </w:r>
    </w:p>
    <w:p>
      <w:pPr>
        <w:pStyle w:val="ListBullet"/>
        <w:spacing w:after="40"/>
      </w:pPr>
      <w:r>
        <w:rPr>
          <w:rFonts w:ascii="Aptos" w:hAnsi="Aptos"/>
          <w:b w:val="0"/>
          <w:i w:val="0"/>
          <w:color w:val="1D2733"/>
          <w:sz w:val="21"/>
        </w:rPr>
        <w:t>Persist the verified event and return 2xx quickly; perform heavier reconciliation/fulfilment asynchronously.</w:t>
      </w:r>
    </w:p>
    <w:p>
      <w:pPr>
        <w:pStyle w:val="ListBullet"/>
        <w:spacing w:after="40"/>
      </w:pPr>
      <w:r>
        <w:rPr>
          <w:rFonts w:ascii="Aptos" w:hAnsi="Aptos"/>
          <w:b w:val="0"/>
          <w:i w:val="0"/>
          <w:color w:val="1D2733"/>
          <w:sz w:val="21"/>
        </w:rPr>
        <w:t>Handle payment.captured, payment.failed and order.paid at minimum.</w:t>
      </w:r>
    </w:p>
    <w:p>
      <w:pPr>
        <w:pStyle w:val="Heading2"/>
        <w:spacing w:before="200" w:after="100"/>
      </w:pPr>
      <w:r>
        <w:rPr>
          <w:rFonts w:ascii="Aptos" w:hAnsi="Aptos"/>
          <w:b/>
          <w:color w:val="1F5EFF"/>
          <w:sz w:val="27"/>
        </w:rPr>
        <w:t>7.5 Local idempotency</w:t>
      </w:r>
    </w:p>
    <w:p>
      <w:pPr>
        <w:spacing w:after="100" w:line="259" w:lineRule="auto"/>
      </w:pPr>
      <w:r>
        <w:rPr>
          <w:rFonts w:ascii="Aptos" w:hAnsi="Aptos"/>
          <w:b w:val="0"/>
          <w:i w:val="0"/>
          <w:color w:val="1D2733"/>
          <w:sz w:val="21"/>
        </w:rPr>
        <w:t>Do not rely on an undocumented Orders API idempotency header. Maintain a unique checkout_session_id / commerce_order_id in your database. A retry for the same accepted offer returns the already-created Razorpay order instead of creating another.</w:t>
      </w:r>
    </w:p>
    <w:p>
      <w:pPr>
        <w:pStyle w:val="Heading1"/>
        <w:spacing w:before="280" w:after="140"/>
      </w:pPr>
      <w:r>
        <w:rPr>
          <w:rFonts w:ascii="Aptos" w:hAnsi="Aptos"/>
          <w:b/>
          <w:color w:val="132238"/>
          <w:sz w:val="38"/>
        </w:rPr>
        <w:t>8. ShadowFunnel Instrumentation and Attribution</w:t>
      </w:r>
    </w:p>
    <w:p>
      <w:pPr>
        <w:pStyle w:val="Heading2"/>
        <w:spacing w:before="200" w:after="100"/>
      </w:pPr>
      <w:r>
        <w:rPr>
          <w:rFonts w:ascii="Aptos" w:hAnsi="Aptos"/>
          <w:b/>
          <w:color w:val="1F5EFF"/>
          <w:sz w:val="27"/>
        </w:rPr>
        <w:t>8.1 Observable funnel</w:t>
      </w:r>
    </w:p>
    <w:tbl>
      <w:tblPr>
        <w:tblW w:type="auto" w:w="0"/>
        <w:jc w:val="center"/>
        <w:tblLook w:firstColumn="1" w:firstRow="1" w:lastColumn="0" w:lastRow="0" w:noHBand="0" w:noVBand="1" w:val="04A0"/>
      </w:tblPr>
      <w:tblGrid>
        <w:gridCol w:w="10166"/>
      </w:tblGrid>
      <w:tr>
        <w:tc>
          <w:tcPr>
            <w:tcW w:type="dxa" w:w="10166"/>
            <w:shd w:fill="F2F4F7"/>
            <w:tcBorders>
              <w:top w:val="single" w:sz="4" w:color="D0D5DD"/>
              <w:left w:val="single" w:sz="4" w:color="D0D5DD"/>
              <w:bottom w:val="single" w:sz="4" w:color="D0D5DD"/>
              <w:right w:val="single" w:sz="4" w:color="D0D5DD"/>
            </w:tcBorders>
          </w:tcPr>
          <w:p>
            <w:pPr>
              <w:spacing w:after="0"/>
            </w:pPr>
            <w:r>
              <w:rPr>
                <w:rFonts w:ascii="Liberation Mono" w:hAnsi="Liberation Mono"/>
                <w:color w:val="1D2733"/>
                <w:sz w:val="17"/>
              </w:rPr>
              <w:t>AGENT_QUERY_RECEIVED</w:t>
              <w:br/>
            </w:r>
            <w:r>
              <w:rPr>
                <w:rFonts w:ascii="Liberation Mono" w:hAnsi="Liberation Mono"/>
                <w:color w:val="1D2733"/>
                <w:sz w:val="17"/>
              </w:rPr>
              <w:t xml:space="preserve">  → INTENT_NORMALIZED</w:t>
              <w:br/>
            </w:r>
            <w:r>
              <w:rPr>
                <w:rFonts w:ascii="Liberation Mono" w:hAnsi="Liberation Mono"/>
                <w:color w:val="1D2733"/>
                <w:sz w:val="17"/>
              </w:rPr>
              <w:t xml:space="preserve">  → CANDIDATE_EVALUATED</w:t>
              <w:br/>
            </w:r>
            <w:r>
              <w:rPr>
                <w:rFonts w:ascii="Liberation Mono" w:hAnsi="Liberation Mono"/>
                <w:color w:val="1D2733"/>
                <w:sz w:val="17"/>
              </w:rPr>
              <w:t xml:space="preserve">  → HARD_CONSTRAINTS_RESOLVED</w:t>
              <w:br/>
            </w:r>
            <w:r>
              <w:rPr>
                <w:rFonts w:ascii="Liberation Mono" w:hAnsi="Liberation Mono"/>
                <w:color w:val="1D2733"/>
                <w:sz w:val="17"/>
              </w:rPr>
              <w:t xml:space="preserve">  → OFFER_FORMED</w:t>
              <w:br/>
            </w:r>
            <w:r>
              <w:rPr>
                <w:rFonts w:ascii="Liberation Mono" w:hAnsi="Liberation Mono"/>
                <w:color w:val="1D2733"/>
                <w:sz w:val="17"/>
              </w:rPr>
              <w:t xml:space="preserve">  → BUYER_ACCEPTED / BUYER_REJECTED</w:t>
              <w:br/>
            </w:r>
            <w:r>
              <w:rPr>
                <w:rFonts w:ascii="Liberation Mono" w:hAnsi="Liberation Mono"/>
                <w:color w:val="1D2733"/>
                <w:sz w:val="17"/>
              </w:rPr>
              <w:t xml:space="preserve">  → RESCUE_ATTEMPTED</w:t>
              <w:br/>
            </w:r>
            <w:r>
              <w:rPr>
                <w:rFonts w:ascii="Liberation Mono" w:hAnsi="Liberation Mono"/>
                <w:color w:val="1D2733"/>
                <w:sz w:val="17"/>
              </w:rPr>
              <w:t xml:space="preserve">  → POLICY_GATED</w:t>
              <w:br/>
            </w:r>
            <w:r>
              <w:rPr>
                <w:rFonts w:ascii="Liberation Mono" w:hAnsi="Liberation Mono"/>
                <w:color w:val="1D2733"/>
                <w:sz w:val="17"/>
              </w:rPr>
              <w:t xml:space="preserve">  → ORDER_CREATED</w:t>
              <w:br/>
            </w:r>
            <w:r>
              <w:rPr>
                <w:rFonts w:ascii="Liberation Mono" w:hAnsi="Liberation Mono"/>
                <w:color w:val="1D2733"/>
                <w:sz w:val="17"/>
              </w:rPr>
              <w:t xml:space="preserve">  → PAYMENT_CAPTURED</w:t>
            </w:r>
          </w:p>
        </w:tc>
      </w:tr>
    </w:tbl>
    <w:p>
      <w:pPr>
        <w:spacing w:after="20"/>
      </w:pPr>
    </w:p>
    <w:p>
      <w:pPr>
        <w:spacing w:after="100" w:line="259" w:lineRule="auto"/>
      </w:pPr>
      <w:r>
        <w:rPr>
          <w:rFonts w:ascii="Aptos" w:hAnsi="Aptos"/>
          <w:b w:val="0"/>
          <w:i w:val="0"/>
          <w:color w:val="1D2733"/>
          <w:sz w:val="21"/>
        </w:rPr>
        <w:t>This is “agent-query-to-payment observability,” not omniscience over agents that never contact the merchant.</w:t>
      </w:r>
    </w:p>
    <w:p>
      <w:pPr>
        <w:pStyle w:val="Heading2"/>
        <w:spacing w:before="200" w:after="100"/>
      </w:pPr>
      <w:r>
        <w:rPr>
          <w:rFonts w:ascii="Aptos" w:hAnsi="Aptos"/>
          <w:b/>
          <w:color w:val="1F5EFF"/>
          <w:sz w:val="27"/>
        </w:rPr>
        <w:t>8.2 No double counting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Intent lifecycle bucket</w:t>
            </w:r>
          </w:p>
        </w:tc>
        <w:tc>
          <w:tcPr>
            <w:tcW w:type="dxa" w:w="705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Meaning</w:t>
            </w:r>
          </w:p>
        </w:tc>
      </w:tr>
      <w:tr>
        <w:tc>
          <w:tcPr>
            <w:tcW w:type="dxa" w:w="31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DIRECTLY_CONVERTED</w:t>
            </w:r>
          </w:p>
        </w:tc>
        <w:tc>
          <w:tcPr>
            <w:tcW w:type="dxa" w:w="70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Paid without rescue</w:t>
            </w:r>
          </w:p>
        </w:tc>
      </w:tr>
      <w:tr>
        <w:tc>
          <w:tcPr>
            <w:tcW w:type="dxa" w:w="31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REJECTED_UNRECOVERED</w:t>
            </w:r>
          </w:p>
        </w:tc>
        <w:tc>
          <w:tcPr>
            <w:tcW w:type="dxa" w:w="70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Rejected and still unresolved</w:t>
            </w:r>
          </w:p>
        </w:tc>
      </w:tr>
      <w:tr>
        <w:tc>
          <w:tcPr>
            <w:tcW w:type="dxa" w:w="31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RECOVERED_NOT_PAID</w:t>
            </w:r>
          </w:p>
        </w:tc>
        <w:tc>
          <w:tcPr>
            <w:tcW w:type="dxa" w:w="70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Rescue made offer eligible/accepted but no captured payment</w:t>
            </w:r>
          </w:p>
        </w:tc>
      </w:tr>
      <w:tr>
        <w:tc>
          <w:tcPr>
            <w:tcW w:type="dxa" w:w="31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RECOVERED_AND_PAID</w:t>
            </w:r>
          </w:p>
        </w:tc>
        <w:tc>
          <w:tcPr>
            <w:tcW w:type="dxa" w:w="70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Captured payment after rescue</w:t>
            </w:r>
          </w:p>
        </w:tc>
      </w:tr>
    </w:tbl>
    <w:p>
      <w:pPr>
        <w:spacing w:after="20"/>
      </w:pPr>
    </w:p>
    <w:p>
      <w:pPr>
        <w:spacing w:after="100" w:line="259" w:lineRule="auto"/>
      </w:pPr>
      <w:r>
        <w:rPr>
          <w:rFonts w:ascii="Aptos" w:hAnsi="Aptos"/>
          <w:b w:val="0"/>
          <w:i w:val="0"/>
          <w:color w:val="1D2733"/>
          <w:sz w:val="21"/>
        </w:rPr>
        <w:t>One buyer intent is one commercial opportunity even if it evaluates multiple SKUs. Candidate evaluations are children of the intent; represented GMV is never summed once per SKU.</w:t>
      </w:r>
    </w:p>
    <w:p>
      <w:pPr>
        <w:pStyle w:val="Heading2"/>
        <w:spacing w:before="200" w:after="100"/>
      </w:pPr>
      <w:r>
        <w:rPr>
          <w:rFonts w:ascii="Aptos" w:hAnsi="Aptos"/>
          <w:b/>
          <w:color w:val="1F5EFF"/>
          <w:sz w:val="27"/>
        </w:rPr>
        <w:t>8.3 Single-fix opportunity metric</w:t>
      </w:r>
    </w:p>
    <w:p>
      <w:pPr>
        <w:spacing w:after="100" w:line="259" w:lineRule="auto"/>
      </w:pPr>
      <w:r>
        <w:rPr>
          <w:rFonts w:ascii="Aptos" w:hAnsi="Aptos"/>
          <w:b w:val="0"/>
          <w:i w:val="0"/>
          <w:color w:val="1D2733"/>
          <w:sz w:val="21"/>
        </w:rPr>
        <w:t>Do not split an ₹8,000 jointly blocked intent into ₹4,000 for GST and ₹4,000 for delivery. For MVP ranking, replay the intent with exactly one blocker repaired.</w:t>
      </w:r>
    </w:p>
    <w:tbl>
      <w:tblPr>
        <w:tblW w:type="auto" w:w="0"/>
        <w:jc w:val="center"/>
        <w:tblLook w:firstColumn="1" w:firstRow="1" w:lastColumn="0" w:lastRow="0" w:noHBand="0" w:noVBand="1" w:val="04A0"/>
      </w:tblPr>
      <w:tblGrid>
        <w:gridCol w:w="10166"/>
      </w:tblGrid>
      <w:tr>
        <w:tc>
          <w:tcPr>
            <w:tcW w:type="dxa" w:w="10166"/>
            <w:shd w:fill="F2F4F7"/>
            <w:tcBorders>
              <w:top w:val="single" w:sz="4" w:color="D0D5DD"/>
              <w:left w:val="single" w:sz="4" w:color="D0D5DD"/>
              <w:bottom w:val="single" w:sz="4" w:color="D0D5DD"/>
              <w:right w:val="single" w:sz="4" w:color="D0D5DD"/>
            </w:tcBorders>
          </w:tcPr>
          <w:p>
            <w:pPr>
              <w:spacing w:after="0"/>
            </w:pPr>
            <w:r>
              <w:rPr>
                <w:rFonts w:ascii="Liberation Mono" w:hAnsi="Liberation Mono"/>
                <w:color w:val="1D2733"/>
                <w:sz w:val="17"/>
              </w:rPr>
              <w:t>single_fix_unlockable_gmv[X] += intent_value</w:t>
              <w:br/>
            </w:r>
            <w:r>
              <w:rPr>
                <w:rFonts w:ascii="Liberation Mono" w:hAnsi="Liberation Mono"/>
                <w:color w:val="1D2733"/>
                <w:sz w:val="17"/>
              </w:rPr>
              <w:t>ONLY IF repairing X alone changes the intent from rejected → eligible</w:t>
            </w:r>
          </w:p>
        </w:tc>
      </w:tr>
    </w:tbl>
    <w:p>
      <w:pPr>
        <w:spacing w:after="20"/>
      </w:pPr>
    </w:p>
    <w:p>
      <w:pPr>
        <w:spacing w:after="100" w:line="259" w:lineRule="auto"/>
      </w:pPr>
      <w:r>
        <w:rPr>
          <w:rFonts w:ascii="Aptos" w:hAnsi="Aptos"/>
          <w:b w:val="0"/>
          <w:i w:val="0"/>
          <w:color w:val="1D2733"/>
          <w:sz w:val="21"/>
        </w:rPr>
        <w:t>Jointly blocked intents are shown separately as observed combinations, for example GST_INVOICE + DELIVERY_SLA. Enumerate only combinations that actually occur in replay data; do not precompute the full combinatorial space.</w:t>
      </w:r>
    </w:p>
    <w:p>
      <w:pPr>
        <w:pStyle w:val="Heading1"/>
        <w:spacing w:before="280" w:after="140"/>
      </w:pPr>
      <w:r>
        <w:rPr>
          <w:rFonts w:ascii="Aptos" w:hAnsi="Aptos"/>
          <w:b/>
          <w:color w:val="132238"/>
          <w:sz w:val="38"/>
        </w:rPr>
        <w:t>9. Evaluation — Paired, Deterministic and Honest</w:t>
      </w:r>
    </w:p>
    <w:p>
      <w:pPr>
        <w:pStyle w:val="Heading2"/>
        <w:spacing w:before="200" w:after="100"/>
      </w:pPr>
      <w:r>
        <w:rPr>
          <w:rFonts w:ascii="Aptos" w:hAnsi="Aptos"/>
          <w:b/>
          <w:color w:val="1F5EFF"/>
          <w:sz w:val="27"/>
        </w:rPr>
        <w:t>9.1 Isolated paired replay — direct efficacy</w:t>
      </w:r>
    </w:p>
    <w:p>
      <w:pPr>
        <w:spacing w:after="100" w:line="259" w:lineRule="auto"/>
      </w:pPr>
      <w:r>
        <w:rPr>
          <w:rFonts w:ascii="Aptos" w:hAnsi="Aptos"/>
          <w:b w:val="0"/>
          <w:i w:val="0"/>
          <w:color w:val="1D2733"/>
          <w:sz w:val="21"/>
        </w:rPr>
        <w:t>Run every synthetic intent twice against the exact same immutable merchant snapshot and random seed.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Arm</w:t>
            </w:r>
          </w:p>
        </w:tc>
        <w:tc>
          <w:tcPr>
            <w:tcW w:type="dxa" w:w="820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Behavior</w:t>
            </w:r>
          </w:p>
        </w:tc>
      </w:tr>
      <w:tr>
        <w:tc>
          <w:tcPr>
            <w:tcW w:type="dxa" w:w="20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Control</w:t>
            </w:r>
          </w:p>
        </w:tc>
        <w:tc>
          <w:tcPr>
            <w:tcW w:type="dxa" w:w="820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Baseline agentic-commerce flow; no ShadowFunnel rescue</w:t>
            </w:r>
          </w:p>
        </w:tc>
      </w:tr>
      <w:tr>
        <w:tc>
          <w:tcPr>
            <w:tcW w:type="dxa" w:w="20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Treatment</w:t>
            </w:r>
          </w:p>
        </w:tc>
        <w:tc>
          <w:tcPr>
            <w:tcW w:type="dxa" w:w="820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Same buyer, same intent, same catalog and same seed; rescue is available only after baseline rejection</w:t>
            </w:r>
          </w:p>
        </w:tc>
      </w:tr>
    </w:tbl>
    <w:p>
      <w:pPr>
        <w:spacing w:after="20"/>
      </w:pPr>
    </w:p>
    <w:p>
      <w:pPr>
        <w:spacing w:after="100" w:line="259" w:lineRule="auto"/>
      </w:pPr>
      <w:r>
        <w:rPr>
          <w:rFonts w:ascii="Aptos" w:hAnsi="Aptos"/>
          <w:b w:val="0"/>
          <w:i w:val="0"/>
          <w:color w:val="1D2733"/>
          <w:sz w:val="21"/>
        </w:rPr>
        <w:t>Because the treatment strictly adds options after rejection in isolated replay, Control ✓ / Treatment ✕ is a test failure, not a business outcome. Regressions should be zero in this mode.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74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Outcome pair</w:t>
            </w:r>
          </w:p>
        </w:tc>
        <w:tc>
          <w:tcPr>
            <w:tcW w:type="dxa" w:w="648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8"/>
              </w:rPr>
              <w:t>Interpretation</w:t>
            </w:r>
          </w:p>
        </w:tc>
      </w:tr>
      <w:tr>
        <w:tc>
          <w:tcPr>
            <w:tcW w:type="dxa" w:w="37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Control ✓ / Treatment ✓</w:t>
            </w:r>
          </w:p>
        </w:tc>
        <w:tc>
          <w:tcPr>
            <w:tcW w:type="dxa" w:w="64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No incremental conversion</w:t>
            </w:r>
          </w:p>
        </w:tc>
      </w:tr>
      <w:tr>
        <w:tc>
          <w:tcPr>
            <w:tcW w:type="dxa" w:w="374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Control ✕ / Treatment ✓</w:t>
            </w:r>
          </w:p>
        </w:tc>
        <w:tc>
          <w:tcPr>
            <w:tcW w:type="dxa" w:w="64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Direct ShadowFunnel win</w:t>
            </w:r>
          </w:p>
        </w:tc>
      </w:tr>
      <w:tr>
        <w:tc>
          <w:tcPr>
            <w:tcW w:type="dxa" w:w="374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Control ✓ / Treatment ✕</w:t>
            </w:r>
          </w:p>
        </w:tc>
        <w:tc>
          <w:tcPr>
            <w:tcW w:type="dxa" w:w="64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BUG in isolated mode</w:t>
            </w:r>
          </w:p>
        </w:tc>
      </w:tr>
      <w:tr>
        <w:tc>
          <w:tcPr>
            <w:tcW w:type="dxa" w:w="374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Control ✕ / Treatment ✕</w:t>
            </w:r>
          </w:p>
        </w:tc>
        <w:tc>
          <w:tcPr>
            <w:tcW w:type="dxa" w:w="64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8"/>
              </w:rPr>
              <w:t>Unresolved</w:t>
            </w:r>
          </w:p>
        </w:tc>
      </w:tr>
    </w:tbl>
    <w:p>
      <w:pPr>
        <w:spacing w:after="20"/>
      </w:pP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198754"/>
            <w:tcBorders>
              <w:top w:val="nil"/>
              <w:left w:val="nil"/>
              <w:bottom w:val="nil"/>
              <w:right w:val="nil"/>
            </w:tcBorders>
          </w:tcPr>
          <w:p/>
        </w:tc>
        <w:tc>
          <w:tcPr>
            <w:tcW w:type="dxa" w:w="5083"/>
            <w:shd w:fill="EEF9F3"/>
            <w:tcBorders>
              <w:top w:val="nil"/>
              <w:left w:val="nil"/>
              <w:bottom w:val="nil"/>
              <w:right w:val="nil"/>
            </w:tcBorders>
          </w:tcPr>
          <w:p>
            <w:pPr>
              <w:spacing w:after="40"/>
            </w:pPr>
            <w:r>
              <w:rPr>
                <w:rFonts w:ascii="Aptos" w:hAnsi="Aptos"/>
                <w:b/>
                <w:i w:val="0"/>
                <w:color w:val="198754"/>
                <w:sz w:val="21"/>
              </w:rPr>
              <w:t>HEADLINE NUMBER</w:t>
              <w:br/>
            </w:r>
            <w:r>
              <w:rPr>
                <w:rFonts w:ascii="Aptos" w:hAnsi="Aptos"/>
                <w:b w:val="0"/>
                <w:i w:val="0"/>
                <w:color w:val="1D2733"/>
                <w:sz w:val="20"/>
              </w:rPr>
              <w:t>Report “+N attributable conversions on the same intents, same merchant snapshot and same seed,” not two unrelated batch totals.</w:t>
            </w:r>
          </w:p>
        </w:tc>
      </w:tr>
    </w:tbl>
    <w:p>
      <w:pPr>
        <w:spacing w:after="20"/>
      </w:pPr>
    </w:p>
    <w:p>
      <w:pPr>
        <w:pStyle w:val="Heading2"/>
        <w:spacing w:before="200" w:after="100"/>
      </w:pPr>
      <w:r>
        <w:rPr>
          <w:rFonts w:ascii="Aptos" w:hAnsi="Aptos"/>
          <w:b/>
          <w:color w:val="1F5EFF"/>
          <w:sz w:val="27"/>
        </w:rPr>
        <w:t>9.2 Stateful portfolio replay — operational externalities</w:t>
      </w:r>
    </w:p>
    <w:p>
      <w:pPr>
        <w:spacing w:after="100" w:line="259" w:lineRule="auto"/>
      </w:pPr>
      <w:r>
        <w:rPr>
          <w:rFonts w:ascii="Aptos" w:hAnsi="Aptos"/>
          <w:b w:val="0"/>
          <w:i w:val="0"/>
          <w:color w:val="1D2733"/>
          <w:sz w:val="21"/>
        </w:rPr>
        <w:t>Run the same ordered intent stream through two cloned merchant states. Reservations and stock/capacity depletion happen independently inside each arm. Here, treatment can legitimately cause regressions by reallocating scarce inventory to earlier rescued intents. Report the mechanism explicitly.</w:t>
      </w:r>
    </w:p>
    <w:p>
      <w:pPr>
        <w:pStyle w:val="ListBullet"/>
        <w:spacing w:after="40"/>
      </w:pPr>
      <w:r>
        <w:rPr>
          <w:rFonts w:ascii="Aptos" w:hAnsi="Aptos"/>
          <w:b w:val="0"/>
          <w:i w:val="0"/>
          <w:color w:val="1D2733"/>
          <w:sz w:val="21"/>
        </w:rPr>
        <w:t>Control and treatment receive the same intent order.</w:t>
      </w:r>
    </w:p>
    <w:p>
      <w:pPr>
        <w:pStyle w:val="ListBullet"/>
        <w:spacing w:after="40"/>
      </w:pPr>
      <w:r>
        <w:rPr>
          <w:rFonts w:ascii="Aptos" w:hAnsi="Aptos"/>
          <w:b w:val="0"/>
          <w:i w:val="0"/>
          <w:color w:val="1D2733"/>
          <w:sz w:val="21"/>
        </w:rPr>
        <w:t>Each arm has its own location inventory and capacity state.</w:t>
      </w:r>
    </w:p>
    <w:p>
      <w:pPr>
        <w:pStyle w:val="ListBullet"/>
        <w:spacing w:after="40"/>
      </w:pPr>
      <w:r>
        <w:rPr>
          <w:rFonts w:ascii="Aptos" w:hAnsi="Aptos"/>
          <w:b w:val="0"/>
          <w:i w:val="0"/>
          <w:color w:val="1D2733"/>
          <w:sz w:val="21"/>
        </w:rPr>
        <w:t>Net incremental contribution is treatment contribution minus control contribution across the whole stream.</w:t>
      </w:r>
    </w:p>
    <w:p>
      <w:pPr>
        <w:pStyle w:val="ListBullet"/>
        <w:spacing w:after="40"/>
      </w:pPr>
      <w:r>
        <w:rPr>
          <w:rFonts w:ascii="Aptos" w:hAnsi="Aptos"/>
          <w:b w:val="0"/>
          <w:i w:val="0"/>
          <w:color w:val="1D2733"/>
          <w:sz w:val="21"/>
        </w:rPr>
        <w:t>If a treatment regression occurs, log whether inventory/capacity allocation caused it; do not blame nondeterminism.</w:t>
      </w:r>
    </w:p>
    <w:p>
      <w:pPr>
        <w:pStyle w:val="Heading1"/>
        <w:spacing w:before="280" w:after="140"/>
      </w:pPr>
      <w:r>
        <w:rPr>
          <w:rFonts w:ascii="Aptos" w:hAnsi="Aptos"/>
          <w:b/>
          <w:color w:val="132238"/>
          <w:sz w:val="38"/>
        </w:rPr>
        <w:t>10. P2 Counterfactual Engine — Net Economics, Not Upside-Only</w:t>
      </w:r>
    </w:p>
    <w:p>
      <w:pPr>
        <w:spacing w:after="100" w:line="259" w:lineRule="auto"/>
      </w:pPr>
      <w:r>
        <w:rPr>
          <w:rFonts w:ascii="Aptos" w:hAnsi="Aptos"/>
          <w:b w:val="0"/>
          <w:i w:val="0"/>
          <w:color w:val="1D2733"/>
          <w:sz w:val="21"/>
        </w:rPr>
        <w:t>A policy recommendation such as lowering a free-shipping threshold must be replayed against the same intent stream. Do not add invented “cannibalisation” lines. If buyer substitution is not in the simulator, mark it UNMODELLED.</w:t>
      </w:r>
    </w:p>
    <w:tbl>
      <w:tblPr>
        <w:tblW w:type="auto" w:w="0"/>
        <w:jc w:val="center"/>
        <w:tblLook w:firstColumn="1" w:firstRow="1" w:lastColumn="0" w:lastRow="0" w:noHBand="0" w:noVBand="1" w:val="04A0"/>
      </w:tblPr>
      <w:tblGrid>
        <w:gridCol w:w="10166"/>
      </w:tblGrid>
      <w:tr>
        <w:tc>
          <w:tcPr>
            <w:tcW w:type="dxa" w:w="10166"/>
            <w:shd w:fill="F2F4F7"/>
            <w:tcBorders>
              <w:top w:val="single" w:sz="4" w:color="D0D5DD"/>
              <w:left w:val="single" w:sz="4" w:color="D0D5DD"/>
              <w:bottom w:val="single" w:sz="4" w:color="D0D5DD"/>
              <w:right w:val="single" w:sz="4" w:color="D0D5DD"/>
            </w:tcBorders>
          </w:tcPr>
          <w:p>
            <w:pPr>
              <w:spacing w:after="0"/>
            </w:pPr>
            <w:r>
              <w:rPr>
                <w:rFonts w:ascii="Liberation Mono" w:hAnsi="Liberation Mono"/>
                <w:color w:val="1D2733"/>
                <w:sz w:val="17"/>
              </w:rPr>
              <w:t>for each intent i:</w:t>
              <w:br/>
            </w:r>
            <w:r>
              <w:rPr>
                <w:rFonts w:ascii="Liberation Mono" w:hAnsi="Liberation Mono"/>
                <w:color w:val="1D2733"/>
                <w:sz w:val="17"/>
              </w:rPr>
              <w:t xml:space="preserve">    control_result  = replay(intent_i, control_policy, control_state)</w:t>
              <w:br/>
            </w:r>
            <w:r>
              <w:rPr>
                <w:rFonts w:ascii="Liberation Mono" w:hAnsi="Liberation Mono"/>
                <w:color w:val="1D2733"/>
                <w:sz w:val="17"/>
              </w:rPr>
              <w:t xml:space="preserve">    variant_result  = replay(intent_i, candidate_policy, variant_state)</w:t>
              <w:br/>
            </w:r>
            <w:r>
              <w:rPr>
                <w:rFonts w:ascii="Liberation Mono" w:hAnsi="Liberation Mono"/>
                <w:color w:val="1D2733"/>
                <w:sz w:val="17"/>
              </w:rPr>
              <w:t xml:space="preserve">    delta_i = variant_result.contribution - control_result.contribution</w:t>
              <w:br/>
            </w:r>
            <w:r>
              <w:rPr>
                <w:rFonts w:ascii="Liberation Mono" w:hAnsi="Liberation Mono"/>
                <w:color w:val="1D2733"/>
                <w:sz w:val="17"/>
              </w:rPr>
              <w:br/>
            </w:r>
            <w:r>
              <w:rPr>
                <w:rFonts w:ascii="Liberation Mono" w:hAnsi="Liberation Mono"/>
                <w:color w:val="1D2733"/>
                <w:sz w:val="17"/>
              </w:rPr>
              <w:t>net_incremental_contribution = Σ delta_i</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45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Opportunity card should show</w:t>
            </w:r>
          </w:p>
        </w:tc>
        <w:tc>
          <w:tcPr>
            <w:tcW w:type="dxa" w:w="676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Why</w:t>
            </w:r>
          </w:p>
        </w:tc>
      </w:tr>
      <w:tr>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Affected intents</w:t>
            </w:r>
          </w:p>
        </w:tc>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Scope</w:t>
            </w:r>
          </w:p>
        </w:tc>
      </w:tr>
      <w:tr>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Newly converted / lost conversions</w:t>
            </w:r>
          </w:p>
        </w:tc>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Behavioral delta actually observed in replay</w:t>
            </w:r>
          </w:p>
        </w:tc>
      </w:tr>
      <w:tr>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Gross GMV delta</w:t>
            </w:r>
          </w:p>
        </w:tc>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Top-line change</w:t>
            </w:r>
          </w:p>
        </w:tc>
      </w:tr>
      <w:tr>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Net incremental contribution</w:t>
            </w:r>
          </w:p>
        </w:tc>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Primary economic ranking metric</w:t>
            </w:r>
          </w:p>
        </w:tc>
      </w:tr>
      <w:tr>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Unmodelled effects</w:t>
            </w:r>
          </w:p>
        </w:tc>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Prevents false precision</w:t>
            </w:r>
          </w:p>
        </w:tc>
      </w:tr>
      <w:tr>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Simulation, not causal proof</w:t>
            </w:r>
          </w:p>
        </w:tc>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Honest interpretation</w:t>
            </w:r>
          </w:p>
        </w:tc>
      </w:tr>
    </w:tbl>
    <w:p>
      <w:pPr>
        <w:spacing w:after="20"/>
      </w:pPr>
    </w:p>
    <w:p>
      <w:pPr>
        <w:pStyle w:val="Heading1"/>
        <w:spacing w:before="280" w:after="140"/>
      </w:pPr>
      <w:r>
        <w:rPr>
          <w:rFonts w:ascii="Aptos" w:hAnsi="Aptos"/>
          <w:b/>
          <w:color w:val="132238"/>
          <w:sz w:val="38"/>
        </w:rPr>
        <w:t>11. Data Model and Service Boundaries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6"/>
              </w:rPr>
              <w:t>Entity</w:t>
            </w:r>
          </w:p>
        </w:tc>
        <w:tc>
          <w:tcPr>
            <w:tcW w:type="dxa" w:w="784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6"/>
              </w:rPr>
              <w:t>Critical fields</w:t>
            </w:r>
          </w:p>
        </w:tc>
      </w:tr>
      <w:tr>
        <w:tc>
          <w:tcPr>
            <w:tcW w:type="dxa" w:w="237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MerchantTaxConfig</w:t>
            </w:r>
          </w:p>
        </w:tc>
        <w:tc>
          <w:tcPr>
            <w:tcW w:type="dxa" w:w="78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gst_registered, gstin, invoice_generation_enabled, output_tax_rules, input_tax_recoverability flags, verified_at</w:t>
            </w:r>
          </w:p>
        </w:tc>
      </w:tr>
      <w:tr>
        <w:tc>
          <w:tcPr>
            <w:tcW w:type="dxa" w:w="237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Product</w:t>
            </w:r>
          </w:p>
        </w:tc>
        <w:tc>
          <w:tcPr>
            <w:tcW w:type="dxa" w:w="78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sku, price, tax_code, attributes, economic_cost_source, active</w:t>
            </w:r>
          </w:p>
        </w:tc>
      </w:tr>
      <w:tr>
        <w:tc>
          <w:tcPr>
            <w:tcW w:type="dxa" w:w="237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InventoryLocation</w:t>
            </w:r>
          </w:p>
        </w:tc>
        <w:tc>
          <w:tcPr>
            <w:tcW w:type="dxa" w:w="78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sku, location_id, on_hand_qty, reserved_qty, dispatch_capacity, freshness</w:t>
            </w:r>
          </w:p>
        </w:tc>
      </w:tr>
      <w:tr>
        <w:tc>
          <w:tcPr>
            <w:tcW w:type="dxa" w:w="237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InventoryReservation</w:t>
            </w:r>
          </w:p>
        </w:tc>
        <w:tc>
          <w:tcPr>
            <w:tcW w:type="dxa" w:w="78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offer_id, sku, location_id, qty, expires_at, status</w:t>
            </w:r>
          </w:p>
        </w:tc>
      </w:tr>
      <w:tr>
        <w:tc>
          <w:tcPr>
            <w:tcW w:type="dxa" w:w="237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BuyerIntent</w:t>
            </w:r>
          </w:p>
        </w:tc>
        <w:tc>
          <w:tcPr>
            <w:tcW w:type="dxa" w:w="78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raw_text, normalized schema, hard/soft constraints, original timestamp</w:t>
            </w:r>
          </w:p>
        </w:tc>
      </w:tr>
      <w:tr>
        <w:tc>
          <w:tcPr>
            <w:tcW w:type="dxa" w:w="237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CommerceFact</w:t>
            </w:r>
          </w:p>
        </w:tc>
        <w:tc>
          <w:tcPr>
            <w:tcW w:type="dxa" w:w="78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subject, predicate, extracted value, source ref, evidence class, validity/scope, verification state/rule</w:t>
            </w:r>
          </w:p>
        </w:tc>
      </w:tr>
      <w:tr>
        <w:tc>
          <w:tcPr>
            <w:tcW w:type="dxa" w:w="237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CandidateEvaluation</w:t>
            </w:r>
          </w:p>
        </w:tc>
        <w:tc>
          <w:tcPr>
            <w:tcW w:type="dxa" w:w="78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intent_id, sku, route, constraint results, gross/net totals</w:t>
            </w:r>
          </w:p>
        </w:tc>
      </w:tr>
      <w:tr>
        <w:tc>
          <w:tcPr>
            <w:tcW w:type="dxa" w:w="237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Offer</w:t>
            </w:r>
          </w:p>
        </w:tc>
        <w:tc>
          <w:tcPr>
            <w:tcW w:type="dxa" w:w="78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line items, route, taxes, gross amount, expires_at, offer hash</w:t>
            </w:r>
          </w:p>
        </w:tc>
      </w:tr>
      <w:tr>
        <w:tc>
          <w:tcPr>
            <w:tcW w:type="dxa" w:w="237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PolicyDecision</w:t>
            </w:r>
          </w:p>
        </w:tc>
        <w:tc>
          <w:tcPr>
            <w:tcW w:type="dxa" w:w="78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offer hash, margin inputs, rule versions, result, approval state, expires_at</w:t>
            </w:r>
          </w:p>
        </w:tc>
      </w:tr>
      <w:tr>
        <w:tc>
          <w:tcPr>
            <w:tcW w:type="dxa" w:w="237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PaymentAttempt</w:t>
            </w:r>
          </w:p>
        </w:tc>
        <w:tc>
          <w:tcPr>
            <w:tcW w:type="dxa" w:w="78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commerce_order_id, razorpay_order_id, payment_id, expected amount/currency, checkout verification, fetched status</w:t>
            </w:r>
          </w:p>
        </w:tc>
      </w:tr>
      <w:tr>
        <w:tc>
          <w:tcPr>
            <w:tcW w:type="dxa" w:w="237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WebhookEvent</w:t>
            </w:r>
          </w:p>
        </w:tc>
        <w:tc>
          <w:tcPr>
            <w:tcW w:type="dxa" w:w="784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event_id, raw-body hash, signature result, event type, received_at, processed_at</w:t>
            </w:r>
          </w:p>
        </w:tc>
      </w:tr>
      <w:tr>
        <w:tc>
          <w:tcPr>
            <w:tcW w:type="dxa" w:w="237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AuditEvent</w:t>
            </w:r>
          </w:p>
        </w:tc>
        <w:tc>
          <w:tcPr>
            <w:tcW w:type="dxa" w:w="784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actor, event type, inputs, evidence refs, deterministic reason codes, model/policy version</w:t>
            </w:r>
          </w:p>
        </w:tc>
      </w:tr>
    </w:tbl>
    <w:p>
      <w:pPr>
        <w:spacing w:after="20"/>
      </w:pPr>
    </w:p>
    <w:p>
      <w:pPr>
        <w:pStyle w:val="Heading2"/>
        <w:spacing w:before="200" w:after="100"/>
      </w:pPr>
      <w:r>
        <w:rPr>
          <w:rFonts w:ascii="Aptos" w:hAnsi="Aptos"/>
          <w:b/>
          <w:color w:val="1F5EFF"/>
          <w:sz w:val="27"/>
        </w:rPr>
        <w:t>11.1 Recommended implementation split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45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Component</w:t>
            </w:r>
          </w:p>
        </w:tc>
        <w:tc>
          <w:tcPr>
            <w:tcW w:type="dxa" w:w="676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Implementation</w:t>
            </w:r>
          </w:p>
        </w:tc>
      </w:tr>
      <w:tr>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Intent parser</w:t>
            </w:r>
          </w:p>
        </w:tc>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LLM → Pydantic schema; invalid/ambiguous output rejected or clarified</w:t>
            </w:r>
          </w:p>
        </w:tc>
      </w:tr>
      <w:tr>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Merchant Truth extractor</w:t>
            </w:r>
          </w:p>
        </w:tc>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VLM/LLM extracts candidate facts/evidence spans; deterministic predicate verifier decides current validity</w:t>
            </w:r>
          </w:p>
        </w:tc>
      </w:tr>
      <w:tr>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Constraint engine</w:t>
            </w:r>
          </w:p>
        </w:tc>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Pure deterministic code</w:t>
            </w:r>
          </w:p>
        </w:tc>
      </w:tr>
      <w:tr>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Tax / contribution engine</w:t>
            </w:r>
          </w:p>
        </w:tc>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Pure deterministic fixed-decimal code</w:t>
            </w:r>
          </w:p>
        </w:tc>
      </w:tr>
      <w:tr>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Rescue candidate generator</w:t>
            </w:r>
          </w:p>
        </w:tc>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Rules first; LLM may suggest candidates but cannot authorize</w:t>
            </w:r>
          </w:p>
        </w:tc>
      </w:tr>
      <w:tr>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Policy engine</w:t>
            </w:r>
          </w:p>
        </w:tc>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Pure deterministic code</w:t>
            </w:r>
          </w:p>
        </w:tc>
      </w:tr>
      <w:tr>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Inventory reservation</w:t>
            </w:r>
          </w:p>
        </w:tc>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Transactional database operation</w:t>
            </w:r>
          </w:p>
        </w:tc>
      </w:tr>
      <w:tr>
        <w:tc>
          <w:tcPr>
            <w:tcW w:type="dxa" w:w="345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Razorpay service</w:t>
            </w:r>
          </w:p>
        </w:tc>
        <w:tc>
          <w:tcPr>
            <w:tcW w:type="dxa" w:w="67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Server-side API + signature/status verification + webhook validation</w:t>
            </w:r>
          </w:p>
        </w:tc>
      </w:tr>
      <w:tr>
        <w:tc>
          <w:tcPr>
            <w:tcW w:type="dxa" w:w="345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Explanation</w:t>
            </w:r>
          </w:p>
        </w:tc>
        <w:tc>
          <w:tcPr>
            <w:tcW w:type="dxa" w:w="67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LLM may verbalize already-recorded deterministic results</w:t>
            </w:r>
          </w:p>
        </w:tc>
      </w:tr>
    </w:tbl>
    <w:p>
      <w:pPr>
        <w:spacing w:after="20"/>
      </w:pPr>
    </w:p>
    <w:p>
      <w:pPr>
        <w:pStyle w:val="Heading1"/>
        <w:spacing w:before="280" w:after="140"/>
      </w:pPr>
      <w:r>
        <w:rPr>
          <w:rFonts w:ascii="Aptos" w:hAnsi="Aptos"/>
          <w:b/>
          <w:color w:val="132238"/>
          <w:sz w:val="38"/>
        </w:rPr>
        <w:t>12. Minimal API Surface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Endpoint</w:t>
            </w:r>
          </w:p>
        </w:tc>
        <w:tc>
          <w:tcPr>
            <w:tcW w:type="dxa" w:w="633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Purpose</w:t>
            </w:r>
          </w:p>
        </w:tc>
      </w:tr>
      <w:tr>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POST /api/intents</w:t>
            </w:r>
          </w:p>
        </w:tc>
        <w:tc>
          <w:tcPr>
            <w:tcW w:type="dxa" w:w="633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Normalize buyer request and create intent</w:t>
            </w:r>
          </w:p>
        </w:tc>
      </w:tr>
      <w:tr>
        <w:tc>
          <w:tcPr>
            <w:tcW w:type="dxa" w:w="388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POST /api/intents/{id}/evaluate</w:t>
            </w:r>
          </w:p>
        </w:tc>
        <w:tc>
          <w:tcPr>
            <w:tcW w:type="dxa" w:w="633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Evaluate candidates, hard/soft constraints, initial route and shadow event</w:t>
            </w:r>
          </w:p>
        </w:tc>
      </w:tr>
      <w:tr>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POST /api/truth/resolve/{intent_id}</w:t>
            </w:r>
          </w:p>
        </w:tc>
        <w:tc>
          <w:tcPr>
            <w:tcW w:type="dxa" w:w="633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Resolve only evidence-eligible UNKNOWN predicates</w:t>
            </w:r>
          </w:p>
        </w:tc>
      </w:tr>
      <w:tr>
        <w:tc>
          <w:tcPr>
            <w:tcW w:type="dxa" w:w="388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POST /api/rescues/{intent_id}/plan</w:t>
            </w:r>
          </w:p>
        </w:tc>
        <w:tc>
          <w:tcPr>
            <w:tcW w:type="dxa" w:w="633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Generate deterministic rescue candidates</w:t>
            </w:r>
          </w:p>
        </w:tc>
      </w:tr>
      <w:tr>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POST /api/offers/{offer_id}/accept</w:t>
            </w:r>
          </w:p>
        </w:tc>
        <w:tc>
          <w:tcPr>
            <w:tcW w:type="dxa" w:w="633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Revalidate offer expiry and buyer acceptance</w:t>
            </w:r>
          </w:p>
        </w:tc>
      </w:tr>
      <w:tr>
        <w:tc>
          <w:tcPr>
            <w:tcW w:type="dxa" w:w="388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POST /api/reservations</w:t>
            </w:r>
          </w:p>
        </w:tc>
        <w:tc>
          <w:tcPr>
            <w:tcW w:type="dxa" w:w="633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Atomically reserve location stock/capacity</w:t>
            </w:r>
          </w:p>
        </w:tc>
      </w:tr>
      <w:tr>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POST /api/payments/order</w:t>
            </w:r>
          </w:p>
        </w:tc>
        <w:tc>
          <w:tcPr>
            <w:tcW w:type="dxa" w:w="633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Create or return idempotent Razorpay Order for valid policy decision</w:t>
            </w:r>
          </w:p>
        </w:tc>
      </w:tr>
      <w:tr>
        <w:tc>
          <w:tcPr>
            <w:tcW w:type="dxa" w:w="388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POST /api/payments/verify</w:t>
            </w:r>
          </w:p>
        </w:tc>
        <w:tc>
          <w:tcPr>
            <w:tcW w:type="dxa" w:w="633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Verify Checkout signature and fetch authoritative status</w:t>
            </w:r>
          </w:p>
        </w:tc>
      </w:tr>
      <w:tr>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POST /api/webhooks/razorpay</w:t>
            </w:r>
          </w:p>
        </w:tc>
        <w:tc>
          <w:tcPr>
            <w:tcW w:type="dxa" w:w="633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Validate raw-body signature, dedupe and enqueue reconciliation</w:t>
            </w:r>
          </w:p>
        </w:tc>
      </w:tr>
      <w:tr>
        <w:tc>
          <w:tcPr>
            <w:tcW w:type="dxa" w:w="388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GET /api/shadow-funnel</w:t>
            </w:r>
          </w:p>
        </w:tc>
        <w:tc>
          <w:tcPr>
            <w:tcW w:type="dxa" w:w="633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Observable agent-query-to-payment funnel</w:t>
            </w:r>
          </w:p>
        </w:tc>
      </w:tr>
      <w:tr>
        <w:tc>
          <w:tcPr>
            <w:tcW w:type="dxa" w:w="388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GET /api/opportunities</w:t>
            </w:r>
          </w:p>
        </w:tc>
        <w:tc>
          <w:tcPr>
            <w:tcW w:type="dxa" w:w="633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Single-fix and replay-based opportunity ranking</w:t>
            </w:r>
          </w:p>
        </w:tc>
      </w:tr>
      <w:tr>
        <w:tc>
          <w:tcPr>
            <w:tcW w:type="dxa" w:w="388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GET /api/audit/{intent_id}</w:t>
            </w:r>
          </w:p>
        </w:tc>
        <w:tc>
          <w:tcPr>
            <w:tcW w:type="dxa" w:w="633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Complete reproducible decision trace</w:t>
            </w:r>
          </w:p>
        </w:tc>
      </w:tr>
    </w:tbl>
    <w:p>
      <w:pPr>
        <w:spacing w:after="20"/>
      </w:pPr>
    </w:p>
    <w:p>
      <w:pPr>
        <w:pStyle w:val="Heading1"/>
        <w:spacing w:before="280" w:after="140"/>
      </w:pPr>
      <w:r>
        <w:rPr>
          <w:rFonts w:ascii="Aptos" w:hAnsi="Aptos"/>
          <w:b/>
          <w:color w:val="132238"/>
          <w:sz w:val="38"/>
        </w:rPr>
        <w:t>13. Five-Minute Demo Script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22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6"/>
              </w:rPr>
              <w:t>Time</w:t>
            </w:r>
          </w:p>
        </w:tc>
        <w:tc>
          <w:tcPr>
            <w:tcW w:type="dxa" w:w="496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6"/>
              </w:rPr>
              <w:t>Demo action</w:t>
            </w:r>
          </w:p>
        </w:tc>
        <w:tc>
          <w:tcPr>
            <w:tcW w:type="dxa" w:w="403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6"/>
              </w:rPr>
              <w:t>What judge learns</w:t>
            </w:r>
          </w:p>
        </w:tc>
      </w:tr>
      <w:tr>
        <w:tc>
          <w:tcPr>
            <w:tcW w:type="dxa" w:w="12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0:00–0:30</w:t>
            </w:r>
          </w:p>
        </w:tc>
        <w:tc>
          <w:tcPr>
            <w:tcW w:type="dxa" w:w="49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State observability boundary and Track 1 thesis</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No pre-query omniscience claim; this is AI-buyer commerce, not payment recovery</w:t>
            </w:r>
          </w:p>
        </w:tc>
      </w:tr>
      <w:tr>
        <w:tc>
          <w:tcPr>
            <w:tcW w:type="dxa" w:w="12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0:30–1:05</w:t>
            </w:r>
          </w:p>
        </w:tc>
        <w:tc>
          <w:tcPr>
            <w:tcW w:type="dxa" w:w="49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Buyer sends the ₹8,000 / FSC / GST / Pune request</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Natural language becomes a typed mandate</w:t>
            </w:r>
          </w:p>
        </w:tc>
      </w:tr>
      <w:tr>
        <w:tc>
          <w:tcPr>
            <w:tcW w:type="dxa" w:w="12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1:05–1:30</w:t>
            </w:r>
          </w:p>
        </w:tc>
        <w:tc>
          <w:tcPr>
            <w:tcW w:type="dxa" w:w="49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GST passes from current merchant config; FSC starts UNKNOWN then valid certificate resolves it</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HARD UNKNOWN semantics and legitimate Merchant Truth value</w:t>
            </w:r>
          </w:p>
        </w:tc>
      </w:tr>
      <w:tr>
        <w:tc>
          <w:tcPr>
            <w:tcW w:type="dxa" w:w="12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1:30–1:55</w:t>
            </w:r>
          </w:p>
        </w:tc>
        <w:tc>
          <w:tcPr>
            <w:tcW w:type="dxa" w:w="49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Baseline central route = ₹8,230; buyer rejects on budget</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Shadow event captured before checkout</w:t>
            </w:r>
          </w:p>
        </w:tc>
      </w:tr>
      <w:tr>
        <w:tc>
          <w:tcPr>
            <w:tcW w:type="dxa" w:w="12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1:55–2:25</w:t>
            </w:r>
          </w:p>
        </w:tc>
        <w:tc>
          <w:tcPr>
            <w:tcW w:type="dxa" w:w="49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Show Candidate A 21.88% BLOCK vs Candidate B 27.55% ALLOW</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Bounded money action with reproducible economics</w:t>
            </w:r>
          </w:p>
        </w:tc>
      </w:tr>
      <w:tr>
        <w:tc>
          <w:tcPr>
            <w:tcW w:type="dxa" w:w="12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2:25–2:45</w:t>
            </w:r>
          </w:p>
        </w:tc>
        <w:tc>
          <w:tcPr>
            <w:tcW w:type="dxa" w:w="49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Atomically reserve 20 units at WH-PNQ-EDGE</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No check-then-act race</w:t>
            </w:r>
          </w:p>
        </w:tc>
      </w:tr>
      <w:tr>
        <w:tc>
          <w:tcPr>
            <w:tcW w:type="dxa" w:w="12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2:45–3:15</w:t>
            </w:r>
          </w:p>
        </w:tc>
        <w:tc>
          <w:tcPr>
            <w:tcW w:type="dxa" w:w="49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Create Razorpay Order, Checkout, verify signature, immediately fetch captured/paid status</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Real P0 transaction</w:t>
            </w:r>
          </w:p>
        </w:tc>
      </w:tr>
      <w:tr>
        <w:tc>
          <w:tcPr>
            <w:tcW w:type="dxa" w:w="12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3:15–3:45</w:t>
            </w:r>
          </w:p>
        </w:tc>
        <w:tc>
          <w:tcPr>
            <w:tcW w:type="dxa" w:w="49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Show audit trail + signed webhook event arrives/reconciles</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Durable payment state and explainability</w:t>
            </w:r>
          </w:p>
        </w:tc>
      </w:tr>
      <w:tr>
        <w:tc>
          <w:tcPr>
            <w:tcW w:type="dxa" w:w="12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3:45–4:20</w:t>
            </w:r>
          </w:p>
        </w:tc>
        <w:tc>
          <w:tcPr>
            <w:tcW w:type="dxa" w:w="49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Show isolated paired replay + attributable wins</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Measurable novelty, same intents/seed</w:t>
            </w:r>
          </w:p>
        </w:tc>
      </w:tr>
      <w:tr>
        <w:tc>
          <w:tcPr>
            <w:tcW w:type="dxa" w:w="12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4:20–4:45</w:t>
            </w:r>
          </w:p>
        </w:tc>
        <w:tc>
          <w:tcPr>
            <w:tcW w:type="dxa" w:w="496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Failure case: 18% discount request is blocked; no Razorpay order created</w:t>
            </w:r>
          </w:p>
        </w:tc>
        <w:tc>
          <w:tcPr>
            <w:tcW w:type="dxa" w:w="403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Graceful failure and merchant control</w:t>
            </w:r>
          </w:p>
        </w:tc>
      </w:tr>
      <w:tr>
        <w:tc>
          <w:tcPr>
            <w:tcW w:type="dxa" w:w="12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4:45–5:00</w:t>
            </w:r>
          </w:p>
        </w:tc>
        <w:tc>
          <w:tcPr>
            <w:tcW w:type="dxa" w:w="496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Close with net incremental contribution / P2 opportunity replay</w:t>
            </w:r>
          </w:p>
        </w:tc>
        <w:tc>
          <w:tcPr>
            <w:tcW w:type="dxa" w:w="403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Revenue growth without giving margin away</w:t>
            </w:r>
          </w:p>
        </w:tc>
      </w:tr>
    </w:tbl>
    <w:p>
      <w:pPr>
        <w:spacing w:after="20"/>
      </w:pPr>
    </w:p>
    <w:p>
      <w:pPr>
        <w:pStyle w:val="Heading1"/>
        <w:spacing w:before="280" w:after="140"/>
      </w:pPr>
      <w:r>
        <w:rPr>
          <w:rFonts w:ascii="Aptos" w:hAnsi="Aptos"/>
          <w:b/>
          <w:color w:val="132238"/>
          <w:sz w:val="38"/>
        </w:rPr>
        <w:t>14. Product Screens — Keep the UI Focused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Screen</w:t>
            </w:r>
          </w:p>
        </w:tc>
        <w:tc>
          <w:tcPr>
            <w:tcW w:type="dxa" w:w="792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Must show</w:t>
            </w:r>
          </w:p>
        </w:tc>
      </w:tr>
      <w:tr>
        <w:tc>
          <w:tcPr>
            <w:tcW w:type="dxa" w:w="230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1. Live Buyer</w:t>
            </w:r>
          </w:p>
        </w:tc>
        <w:tc>
          <w:tcPr>
            <w:tcW w:type="dxa" w:w="792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Raw request, normalized constraints, evidence resolution, baseline rejection, rescue candidates, selected offer, Razorpay action</w:t>
            </w:r>
          </w:p>
        </w:tc>
      </w:tr>
      <w:tr>
        <w:tc>
          <w:tcPr>
            <w:tcW w:type="dxa" w:w="230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2. Agent Funnel</w:t>
            </w:r>
          </w:p>
        </w:tc>
        <w:tc>
          <w:tcPr>
            <w:tcW w:type="dxa" w:w="792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Query → evaluated → offer → paid; unresolved rejections; no claim beyond contacted agents</w:t>
            </w:r>
          </w:p>
        </w:tc>
      </w:tr>
      <w:tr>
        <w:tc>
          <w:tcPr>
            <w:tcW w:type="dxa" w:w="230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3. Opportunities</w:t>
            </w:r>
          </w:p>
        </w:tc>
        <w:tc>
          <w:tcPr>
            <w:tcW w:type="dxa" w:w="792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Single-fix unlockable GMV, observed multi-fix combinations, replay-estimated net incremental contribution</w:t>
            </w:r>
          </w:p>
        </w:tc>
      </w:tr>
      <w:tr>
        <w:tc>
          <w:tcPr>
            <w:tcW w:type="dxa" w:w="230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4. Merchant Truth</w:t>
            </w:r>
          </w:p>
        </w:tc>
        <w:tc>
          <w:tcPr>
            <w:tcW w:type="dxa" w:w="792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Current verified facts, source/evidence class, validity, conflicts, UNKNOWNs requiring merchant action</w:t>
            </w:r>
          </w:p>
        </w:tc>
      </w:tr>
      <w:tr>
        <w:tc>
          <w:tcPr>
            <w:tcW w:type="dxa" w:w="230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5. Audit</w:t>
            </w:r>
          </w:p>
        </w:tc>
        <w:tc>
          <w:tcPr>
            <w:tcW w:type="dxa" w:w="792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Exact tax/margin inputs, policy rule, reservation, offer hash, Razorpay order/payment status and webhook verification</w:t>
            </w:r>
          </w:p>
        </w:tc>
      </w:tr>
    </w:tbl>
    <w:p>
      <w:pPr>
        <w:spacing w:after="20"/>
      </w:pP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B26A00"/>
            <w:tcBorders>
              <w:top w:val="nil"/>
              <w:left w:val="nil"/>
              <w:bottom w:val="nil"/>
              <w:right w:val="nil"/>
            </w:tcBorders>
          </w:tcPr>
          <w:p/>
        </w:tc>
        <w:tc>
          <w:tcPr>
            <w:tcW w:type="dxa" w:w="5083"/>
            <w:shd w:fill="FFF6E8"/>
            <w:tcBorders>
              <w:top w:val="nil"/>
              <w:left w:val="nil"/>
              <w:bottom w:val="nil"/>
              <w:right w:val="nil"/>
            </w:tcBorders>
          </w:tcPr>
          <w:p>
            <w:pPr>
              <w:spacing w:after="40"/>
            </w:pPr>
            <w:r>
              <w:rPr>
                <w:rFonts w:ascii="Aptos" w:hAnsi="Aptos"/>
                <w:b/>
                <w:i w:val="0"/>
                <w:color w:val="B26A00"/>
                <w:sz w:val="21"/>
              </w:rPr>
              <w:t>UI RULE</w:t>
              <w:br/>
            </w:r>
            <w:r>
              <w:rPr>
                <w:rFonts w:ascii="Aptos" w:hAnsi="Aptos"/>
                <w:b w:val="0"/>
                <w:i w:val="0"/>
                <w:color w:val="1D2733"/>
                <w:sz w:val="20"/>
              </w:rPr>
              <w:t>Do not build a generic 12-page dashboard. The flagship buyer flow must update every other screen so the judge sees one coherent system, not a pile of AI features.</w:t>
            </w:r>
          </w:p>
        </w:tc>
      </w:tr>
    </w:tbl>
    <w:p>
      <w:pPr>
        <w:spacing w:after="20"/>
      </w:pPr>
    </w:p>
    <w:p>
      <w:pPr>
        <w:pStyle w:val="Heading1"/>
        <w:spacing w:before="280" w:after="140"/>
      </w:pPr>
      <w:r>
        <w:rPr>
          <w:rFonts w:ascii="Aptos" w:hAnsi="Aptos"/>
          <w:b/>
          <w:color w:val="132238"/>
          <w:sz w:val="38"/>
        </w:rPr>
        <w:t>15. Build Order — What to Implement First</w:t>
      </w:r>
    </w:p>
    <w:p>
      <w:pPr>
        <w:pStyle w:val="Heading2"/>
        <w:spacing w:before="200" w:after="100"/>
      </w:pPr>
      <w:r>
        <w:rPr>
          <w:rFonts w:ascii="Aptos" w:hAnsi="Aptos"/>
          <w:b/>
          <w:color w:val="1F5EFF"/>
          <w:sz w:val="27"/>
        </w:rPr>
        <w:t>P0 — freeze before novelty</w:t>
      </w:r>
    </w:p>
    <w:p>
      <w:pPr>
        <w:spacing w:after="40"/>
        <w:ind w:left="230" w:hanging="230"/>
      </w:pPr>
      <w:r>
        <w:rPr>
          <w:rFonts w:ascii="Aptos" w:hAnsi="Aptos"/>
          <w:b/>
          <w:i w:val="0"/>
          <w:color w:val="1F5EFF"/>
          <w:sz w:val="21"/>
        </w:rPr>
        <w:t xml:space="preserve">1. </w:t>
      </w:r>
      <w:r>
        <w:rPr>
          <w:rFonts w:ascii="Aptos" w:hAnsi="Aptos"/>
          <w:b w:val="0"/>
          <w:i w:val="0"/>
          <w:color w:val="1D2733"/>
          <w:sz w:val="21"/>
        </w:rPr>
        <w:t>Merchant/product/tax/location schema with verified demo data.</w:t>
      </w:r>
    </w:p>
    <w:p>
      <w:pPr>
        <w:spacing w:after="40"/>
        <w:ind w:left="230" w:hanging="230"/>
      </w:pPr>
      <w:r>
        <w:rPr>
          <w:rFonts w:ascii="Aptos" w:hAnsi="Aptos"/>
          <w:b/>
          <w:i w:val="0"/>
          <w:color w:val="1F5EFF"/>
          <w:sz w:val="21"/>
        </w:rPr>
        <w:t xml:space="preserve">2. </w:t>
      </w:r>
      <w:r>
        <w:rPr>
          <w:rFonts w:ascii="Aptos" w:hAnsi="Aptos"/>
          <w:b w:val="0"/>
          <w:i w:val="0"/>
          <w:color w:val="1D2733"/>
          <w:sz w:val="21"/>
        </w:rPr>
        <w:t>Intent schema and deterministic HARD/SOFT constraint engine.</w:t>
      </w:r>
    </w:p>
    <w:p>
      <w:pPr>
        <w:spacing w:after="40"/>
        <w:ind w:left="230" w:hanging="230"/>
      </w:pPr>
      <w:r>
        <w:rPr>
          <w:rFonts w:ascii="Aptos" w:hAnsi="Aptos"/>
          <w:b/>
          <w:i w:val="0"/>
          <w:color w:val="1F5EFF"/>
          <w:sz w:val="21"/>
        </w:rPr>
        <w:t xml:space="preserve">3. </w:t>
      </w:r>
      <w:r>
        <w:rPr>
          <w:rFonts w:ascii="Aptos" w:hAnsi="Aptos"/>
          <w:b w:val="0"/>
          <w:i w:val="0"/>
          <w:color w:val="1D2733"/>
          <w:sz w:val="21"/>
        </w:rPr>
        <w:t>Tax + contribution engine with unit tests reproducing Scenario B exactly.</w:t>
      </w:r>
    </w:p>
    <w:p>
      <w:pPr>
        <w:spacing w:after="40"/>
        <w:ind w:left="230" w:hanging="230"/>
      </w:pPr>
      <w:r>
        <w:rPr>
          <w:rFonts w:ascii="Aptos" w:hAnsi="Aptos"/>
          <w:b/>
          <w:i w:val="0"/>
          <w:color w:val="1F5EFF"/>
          <w:sz w:val="21"/>
        </w:rPr>
        <w:t xml:space="preserve">4. </w:t>
      </w:r>
      <w:r>
        <w:rPr>
          <w:rFonts w:ascii="Aptos" w:hAnsi="Aptos"/>
          <w:b w:val="0"/>
          <w:i w:val="0"/>
          <w:color w:val="1D2733"/>
          <w:sz w:val="21"/>
        </w:rPr>
        <w:t>Offer/policy decision binding and discount approval rules.</w:t>
      </w:r>
    </w:p>
    <w:p>
      <w:pPr>
        <w:spacing w:after="40"/>
        <w:ind w:left="230" w:hanging="230"/>
      </w:pPr>
      <w:r>
        <w:rPr>
          <w:rFonts w:ascii="Aptos" w:hAnsi="Aptos"/>
          <w:b/>
          <w:i w:val="0"/>
          <w:color w:val="1F5EFF"/>
          <w:sz w:val="21"/>
        </w:rPr>
        <w:t xml:space="preserve">5. </w:t>
      </w:r>
      <w:r>
        <w:rPr>
          <w:rFonts w:ascii="Aptos" w:hAnsi="Aptos"/>
          <w:b w:val="0"/>
          <w:i w:val="0"/>
          <w:color w:val="1D2733"/>
          <w:sz w:val="21"/>
        </w:rPr>
        <w:t>Atomic location inventory reservation + expiry release.</w:t>
      </w:r>
    </w:p>
    <w:p>
      <w:pPr>
        <w:spacing w:after="40"/>
        <w:ind w:left="230" w:hanging="230"/>
      </w:pPr>
      <w:r>
        <w:rPr>
          <w:rFonts w:ascii="Aptos" w:hAnsi="Aptos"/>
          <w:b/>
          <w:i w:val="0"/>
          <w:color w:val="1F5EFF"/>
          <w:sz w:val="21"/>
        </w:rPr>
        <w:t xml:space="preserve">6. </w:t>
      </w:r>
      <w:r>
        <w:rPr>
          <w:rFonts w:ascii="Aptos" w:hAnsi="Aptos"/>
          <w:b w:val="0"/>
          <w:i w:val="0"/>
          <w:color w:val="1D2733"/>
          <w:sz w:val="21"/>
        </w:rPr>
        <w:t>Razorpay Test Mode Order → Checkout → signature verification → status fetch.</w:t>
      </w:r>
    </w:p>
    <w:p>
      <w:pPr>
        <w:spacing w:after="40"/>
        <w:ind w:left="230" w:hanging="230"/>
      </w:pPr>
      <w:r>
        <w:rPr>
          <w:rFonts w:ascii="Aptos" w:hAnsi="Aptos"/>
          <w:b/>
          <w:i w:val="0"/>
          <w:color w:val="1F5EFF"/>
          <w:sz w:val="21"/>
        </w:rPr>
        <w:t xml:space="preserve">7. </w:t>
      </w:r>
      <w:r>
        <w:rPr>
          <w:rFonts w:ascii="Aptos" w:hAnsi="Aptos"/>
          <w:b w:val="0"/>
          <w:i w:val="0"/>
          <w:color w:val="1D2733"/>
          <w:sz w:val="21"/>
        </w:rPr>
        <w:t>Signed webhook endpoint with raw-body verification and deduplication.</w:t>
      </w:r>
    </w:p>
    <w:p>
      <w:pPr>
        <w:spacing w:after="40"/>
        <w:ind w:left="230" w:hanging="230"/>
      </w:pPr>
      <w:r>
        <w:rPr>
          <w:rFonts w:ascii="Aptos" w:hAnsi="Aptos"/>
          <w:b/>
          <w:i w:val="0"/>
          <w:color w:val="1F5EFF"/>
          <w:sz w:val="21"/>
        </w:rPr>
        <w:t xml:space="preserve">8. </w:t>
      </w:r>
      <w:r>
        <w:rPr>
          <w:rFonts w:ascii="Aptos" w:hAnsi="Aptos"/>
          <w:b w:val="0"/>
          <w:i w:val="0"/>
          <w:color w:val="1D2733"/>
          <w:sz w:val="21"/>
        </w:rPr>
        <w:t>Audit timeline and at least one deliberate graceful failure.</w:t>
      </w:r>
    </w:p>
    <w:p>
      <w:pPr>
        <w:pStyle w:val="Heading2"/>
        <w:spacing w:before="200" w:after="100"/>
      </w:pPr>
      <w:r>
        <w:rPr>
          <w:rFonts w:ascii="Aptos" w:hAnsi="Aptos"/>
          <w:b/>
          <w:color w:val="1F5EFF"/>
          <w:sz w:val="27"/>
        </w:rPr>
        <w:t>P1 — novelty</w:t>
      </w:r>
    </w:p>
    <w:p>
      <w:pPr>
        <w:spacing w:after="40"/>
        <w:ind w:left="230" w:hanging="230"/>
      </w:pPr>
      <w:r>
        <w:rPr>
          <w:rFonts w:ascii="Aptos" w:hAnsi="Aptos"/>
          <w:b/>
          <w:i w:val="0"/>
          <w:color w:val="1F5EFF"/>
          <w:sz w:val="21"/>
        </w:rPr>
        <w:t xml:space="preserve">1. </w:t>
      </w:r>
      <w:r>
        <w:rPr>
          <w:rFonts w:ascii="Aptos" w:hAnsi="Aptos"/>
          <w:b w:val="0"/>
          <w:i w:val="0"/>
          <w:color w:val="1D2733"/>
          <w:sz w:val="21"/>
        </w:rPr>
        <w:t>ShadowFunnel event instrumentation after merchant query.</w:t>
      </w:r>
    </w:p>
    <w:p>
      <w:pPr>
        <w:spacing w:after="40"/>
        <w:ind w:left="230" w:hanging="230"/>
      </w:pPr>
      <w:r>
        <w:rPr>
          <w:rFonts w:ascii="Aptos" w:hAnsi="Aptos"/>
          <w:b/>
          <w:i w:val="0"/>
          <w:color w:val="1F5EFF"/>
          <w:sz w:val="21"/>
        </w:rPr>
        <w:t xml:space="preserve">2. </w:t>
      </w:r>
      <w:r>
        <w:rPr>
          <w:rFonts w:ascii="Aptos" w:hAnsi="Aptos"/>
          <w:b w:val="0"/>
          <w:i w:val="0"/>
          <w:color w:val="1D2733"/>
          <w:sz w:val="21"/>
        </w:rPr>
        <w:t>Canonical rejection reasons and lifecycle buckets.</w:t>
      </w:r>
    </w:p>
    <w:p>
      <w:pPr>
        <w:spacing w:after="40"/>
        <w:ind w:left="230" w:hanging="230"/>
      </w:pPr>
      <w:r>
        <w:rPr>
          <w:rFonts w:ascii="Aptos" w:hAnsi="Aptos"/>
          <w:b/>
          <w:i w:val="0"/>
          <w:color w:val="1F5EFF"/>
          <w:sz w:val="21"/>
        </w:rPr>
        <w:t xml:space="preserve">3. </w:t>
      </w:r>
      <w:r>
        <w:rPr>
          <w:rFonts w:ascii="Aptos" w:hAnsi="Aptos"/>
          <w:b w:val="0"/>
          <w:i w:val="0"/>
          <w:color w:val="1D2733"/>
          <w:sz w:val="21"/>
        </w:rPr>
        <w:t>Merchant Truth with exactly one strong hard-unblocking example: in-date FSC certificate.</w:t>
      </w:r>
    </w:p>
    <w:p>
      <w:pPr>
        <w:spacing w:after="40"/>
        <w:ind w:left="230" w:hanging="230"/>
      </w:pPr>
      <w:r>
        <w:rPr>
          <w:rFonts w:ascii="Aptos" w:hAnsi="Aptos"/>
          <w:b/>
          <w:i w:val="0"/>
          <w:color w:val="1F5EFF"/>
          <w:sz w:val="21"/>
        </w:rPr>
        <w:t xml:space="preserve">4. </w:t>
      </w:r>
      <w:r>
        <w:rPr>
          <w:rFonts w:ascii="Aptos" w:hAnsi="Aptos"/>
          <w:b w:val="0"/>
          <w:i w:val="0"/>
          <w:color w:val="1D2733"/>
          <w:sz w:val="21"/>
        </w:rPr>
        <w:t>Rescue planner: central route, local route, discount, alternate SKU, approval.</w:t>
      </w:r>
    </w:p>
    <w:p>
      <w:pPr>
        <w:spacing w:after="40"/>
        <w:ind w:left="230" w:hanging="230"/>
      </w:pPr>
      <w:r>
        <w:rPr>
          <w:rFonts w:ascii="Aptos" w:hAnsi="Aptos"/>
          <w:b/>
          <w:i w:val="0"/>
          <w:color w:val="1F5EFF"/>
          <w:sz w:val="21"/>
        </w:rPr>
        <w:t xml:space="preserve">5. </w:t>
      </w:r>
      <w:r>
        <w:rPr>
          <w:rFonts w:ascii="Aptos" w:hAnsi="Aptos"/>
          <w:b w:val="0"/>
          <w:i w:val="0"/>
          <w:color w:val="1D2733"/>
          <w:sz w:val="21"/>
        </w:rPr>
        <w:t>Isolated paired replay evaluation.</w:t>
      </w:r>
    </w:p>
    <w:p>
      <w:pPr>
        <w:pStyle w:val="Heading2"/>
        <w:spacing w:before="200" w:after="100"/>
      </w:pPr>
      <w:r>
        <w:rPr>
          <w:rFonts w:ascii="Aptos" w:hAnsi="Aptos"/>
          <w:b/>
          <w:color w:val="1F5EFF"/>
          <w:sz w:val="27"/>
        </w:rPr>
        <w:t>P2 — only after P1 is polished</w:t>
      </w:r>
    </w:p>
    <w:p>
      <w:pPr>
        <w:spacing w:after="40"/>
        <w:ind w:left="230" w:hanging="230"/>
      </w:pPr>
      <w:r>
        <w:rPr>
          <w:rFonts w:ascii="Aptos" w:hAnsi="Aptos"/>
          <w:b/>
          <w:i w:val="0"/>
          <w:color w:val="1F5EFF"/>
          <w:sz w:val="21"/>
        </w:rPr>
        <w:t xml:space="preserve">1. </w:t>
      </w:r>
      <w:r>
        <w:rPr>
          <w:rFonts w:ascii="Aptos" w:hAnsi="Aptos"/>
          <w:b w:val="0"/>
          <w:i w:val="0"/>
          <w:color w:val="1D2733"/>
          <w:sz w:val="21"/>
        </w:rPr>
        <w:t>Stateful portfolio replay with location inventory/capacity.</w:t>
      </w:r>
    </w:p>
    <w:p>
      <w:pPr>
        <w:spacing w:after="40"/>
        <w:ind w:left="230" w:hanging="230"/>
      </w:pPr>
      <w:r>
        <w:rPr>
          <w:rFonts w:ascii="Aptos" w:hAnsi="Aptos"/>
          <w:b/>
          <w:i w:val="0"/>
          <w:color w:val="1F5EFF"/>
          <w:sz w:val="21"/>
        </w:rPr>
        <w:t xml:space="preserve">2. </w:t>
      </w:r>
      <w:r>
        <w:rPr>
          <w:rFonts w:ascii="Aptos" w:hAnsi="Aptos"/>
          <w:b w:val="0"/>
          <w:i w:val="0"/>
          <w:color w:val="1D2733"/>
          <w:sz w:val="21"/>
        </w:rPr>
        <w:t>Counterfactual merchant-policy simulation ranked by net incremental contribution.</w:t>
      </w:r>
    </w:p>
    <w:p>
      <w:pPr>
        <w:spacing w:after="40"/>
        <w:ind w:left="230" w:hanging="230"/>
      </w:pPr>
      <w:r>
        <w:rPr>
          <w:rFonts w:ascii="Aptos" w:hAnsi="Aptos"/>
          <w:b/>
          <w:i w:val="0"/>
          <w:color w:val="1F5EFF"/>
          <w:sz w:val="21"/>
        </w:rPr>
        <w:t xml:space="preserve">3. </w:t>
      </w:r>
      <w:r>
        <w:rPr>
          <w:rFonts w:ascii="Aptos" w:hAnsi="Aptos"/>
          <w:b w:val="0"/>
          <w:i w:val="0"/>
          <w:color w:val="1D2733"/>
          <w:sz w:val="21"/>
        </w:rPr>
        <w:t>Observed multi-fix combination analysis.</w:t>
      </w:r>
    </w:p>
    <w:p>
      <w:pPr>
        <w:spacing w:after="40"/>
        <w:ind w:left="230" w:hanging="230"/>
      </w:pPr>
      <w:r>
        <w:rPr>
          <w:rFonts w:ascii="Aptos" w:hAnsi="Aptos"/>
          <w:b/>
          <w:i w:val="0"/>
          <w:color w:val="1F5EFF"/>
          <w:sz w:val="21"/>
        </w:rPr>
        <w:t xml:space="preserve">4. </w:t>
      </w:r>
      <w:r>
        <w:rPr>
          <w:rFonts w:ascii="Aptos" w:hAnsi="Aptos"/>
          <w:b w:val="0"/>
          <w:i w:val="0"/>
          <w:color w:val="1D2733"/>
          <w:sz w:val="21"/>
        </w:rPr>
        <w:t>Optional controlled experiment proposal UI — no need to execute real merchant experiments during hackathon.</w:t>
      </w:r>
    </w:p>
    <w:p>
      <w:pPr>
        <w:pStyle w:val="Heading1"/>
        <w:spacing w:before="280" w:after="140"/>
      </w:pPr>
      <w:r>
        <w:rPr>
          <w:rFonts w:ascii="Aptos" w:hAnsi="Aptos"/>
          <w:b/>
          <w:color w:val="132238"/>
          <w:sz w:val="38"/>
        </w:rPr>
        <w:t>16. Red-Team Acceptance Tests Before Recording</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608"/>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6"/>
              </w:rPr>
              <w:t>Test</w:t>
            </w:r>
          </w:p>
        </w:tc>
        <w:tc>
          <w:tcPr>
            <w:tcW w:type="dxa" w:w="5616"/>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6"/>
              </w:rPr>
              <w:t>Expected outcome</w:t>
            </w:r>
          </w:p>
        </w:tc>
      </w:tr>
      <w:tr>
        <w:tc>
          <w:tcPr>
            <w:tcW w:type="dxa" w:w="460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GST invoice is HARD and current tax config missing</w:t>
            </w:r>
          </w:p>
        </w:tc>
        <w:tc>
          <w:tcPr>
            <w:tcW w:type="dxa" w:w="56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Stops at INELIGIBLE_PENDING_EVIDENCE; margin/payment code is unreachable</w:t>
            </w:r>
          </w:p>
        </w:tc>
      </w:tr>
      <w:tr>
        <w:tc>
          <w:tcPr>
            <w:tcW w:type="dxa" w:w="460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Past GST invoice uploaded</w:t>
            </w:r>
          </w:p>
        </w:tc>
        <w:tc>
          <w:tcPr>
            <w:tcW w:type="dxa" w:w="56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Remains historical; does not satisfy current GST capability</w:t>
            </w:r>
          </w:p>
        </w:tc>
      </w:tr>
      <w:tr>
        <w:tc>
          <w:tcPr>
            <w:tcW w:type="dxa" w:w="460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FSC certificate expired</w:t>
            </w:r>
          </w:p>
        </w:tc>
        <w:tc>
          <w:tcPr>
            <w:tcW w:type="dxa" w:w="56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FSC remains unresolved / fails; no payment</w:t>
            </w:r>
          </w:p>
        </w:tc>
      </w:tr>
      <w:tr>
        <w:tc>
          <w:tcPr>
            <w:tcW w:type="dxa" w:w="460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Two buyers concurrently reserve 20 from 24 Pune units</w:t>
            </w:r>
          </w:p>
        </w:tc>
        <w:tc>
          <w:tcPr>
            <w:tcW w:type="dxa" w:w="56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Only one reservation can succeed</w:t>
            </w:r>
          </w:p>
        </w:tc>
      </w:tr>
      <w:tr>
        <w:tc>
          <w:tcPr>
            <w:tcW w:type="dxa" w:w="460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Offer amount changed after policy approval</w:t>
            </w:r>
          </w:p>
        </w:tc>
        <w:tc>
          <w:tcPr>
            <w:tcW w:type="dxa" w:w="56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Policy decision binding fails; new decision required</w:t>
            </w:r>
          </w:p>
        </w:tc>
      </w:tr>
      <w:tr>
        <w:tc>
          <w:tcPr>
            <w:tcW w:type="dxa" w:w="460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Offer expired before Order creation</w:t>
            </w:r>
          </w:p>
        </w:tc>
        <w:tc>
          <w:tcPr>
            <w:tcW w:type="dxa" w:w="56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No Razorpay Order created</w:t>
            </w:r>
          </w:p>
        </w:tc>
      </w:tr>
      <w:tr>
        <w:tc>
          <w:tcPr>
            <w:tcW w:type="dxa" w:w="460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COGS stale/missing</w:t>
            </w:r>
          </w:p>
        </w:tc>
        <w:tc>
          <w:tcPr>
            <w:tcW w:type="dxa" w:w="56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No autonomous margin-reducing rescue based on untrusted margin</w:t>
            </w:r>
          </w:p>
        </w:tc>
      </w:tr>
      <w:tr>
        <w:tc>
          <w:tcPr>
            <w:tcW w:type="dxa" w:w="460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Gateway-fee GST marked non-recoverable</w:t>
            </w:r>
          </w:p>
        </w:tc>
        <w:tc>
          <w:tcPr>
            <w:tcW w:type="dxa" w:w="56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Candidate A still BLOCK, Candidate B still ALLOW in demo data</w:t>
            </w:r>
          </w:p>
        </w:tc>
      </w:tr>
      <w:tr>
        <w:tc>
          <w:tcPr>
            <w:tcW w:type="dxa" w:w="460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Checkout signature invalid</w:t>
            </w:r>
          </w:p>
        </w:tc>
        <w:tc>
          <w:tcPr>
            <w:tcW w:type="dxa" w:w="56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Reject payment result; no fulfilment</w:t>
            </w:r>
          </w:p>
        </w:tc>
      </w:tr>
      <w:tr>
        <w:tc>
          <w:tcPr>
            <w:tcW w:type="dxa" w:w="460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Fetched Razorpay amount/currency differs from expected</w:t>
            </w:r>
          </w:p>
        </w:tc>
        <w:tc>
          <w:tcPr>
            <w:tcW w:type="dxa" w:w="56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No fulfilment; exception/audit event</w:t>
            </w:r>
          </w:p>
        </w:tc>
      </w:tr>
      <w:tr>
        <w:tc>
          <w:tcPr>
            <w:tcW w:type="dxa" w:w="460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Duplicate webhook event</w:t>
            </w:r>
          </w:p>
        </w:tc>
        <w:tc>
          <w:tcPr>
            <w:tcW w:type="dxa" w:w="56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Second event is idempotently ignored</w:t>
            </w:r>
          </w:p>
        </w:tc>
      </w:tr>
      <w:tr>
        <w:tc>
          <w:tcPr>
            <w:tcW w:type="dxa" w:w="460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Webhook signature invalid</w:t>
            </w:r>
          </w:p>
        </w:tc>
        <w:tc>
          <w:tcPr>
            <w:tcW w:type="dxa" w:w="56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Reject event</w:t>
            </w:r>
          </w:p>
        </w:tc>
      </w:tr>
      <w:tr>
        <w:tc>
          <w:tcPr>
            <w:tcW w:type="dxa" w:w="4608"/>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External agent queries then disappears without reason</w:t>
            </w:r>
          </w:p>
        </w:tc>
        <w:tc>
          <w:tcPr>
            <w:tcW w:type="dxa" w:w="5616"/>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Record non-conversion reason UNKNOWN; do not invent reason</w:t>
            </w:r>
          </w:p>
        </w:tc>
      </w:tr>
      <w:tr>
        <w:tc>
          <w:tcPr>
            <w:tcW w:type="dxa" w:w="4608"/>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Isolated paired replay has Control ✓ / Treatment ✕</w:t>
            </w:r>
          </w:p>
        </w:tc>
        <w:tc>
          <w:tcPr>
            <w:tcW w:type="dxa" w:w="5616"/>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6"/>
              </w:rPr>
              <w:t>Fail the evaluation test; investigate bug</w:t>
            </w:r>
          </w:p>
        </w:tc>
      </w:tr>
    </w:tbl>
    <w:p>
      <w:pPr>
        <w:spacing w:after="20"/>
      </w:pPr>
    </w:p>
    <w:p>
      <w:pPr>
        <w:pStyle w:val="Heading1"/>
        <w:spacing w:before="280" w:after="140"/>
      </w:pPr>
      <w:r>
        <w:rPr>
          <w:rFonts w:ascii="Aptos" w:hAnsi="Aptos"/>
          <w:b/>
          <w:color w:val="132238"/>
          <w:sz w:val="38"/>
        </w:rPr>
        <w:t>17. Claims You Can Defend vs Claims You Should Not Make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511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Defensible</w:t>
            </w:r>
          </w:p>
        </w:tc>
        <w:tc>
          <w:tcPr>
            <w:tcW w:type="dxa" w:w="5112"/>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7"/>
              </w:rPr>
              <w:t>Do not claim</w:t>
            </w:r>
          </w:p>
        </w:tc>
      </w:tr>
      <w:tr>
        <w:tc>
          <w:tcPr>
            <w:tcW w:type="dxa" w:w="511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We observe buyer-agent behavior after the agent contacts our merchant surface.</w:t>
            </w:r>
          </w:p>
        </w:tc>
        <w:tc>
          <w:tcPr>
            <w:tcW w:type="dxa" w:w="511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We know every AI agent that considered and rejected the merchant.</w:t>
            </w:r>
          </w:p>
        </w:tc>
      </w:tr>
      <w:tr>
        <w:tc>
          <w:tcPr>
            <w:tcW w:type="dxa" w:w="511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 current, valid FSC certificate can satisfy the configured FSC predicate.</w:t>
            </w:r>
          </w:p>
        </w:tc>
        <w:tc>
          <w:tcPr>
            <w:tcW w:type="dxa" w:w="511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Any uploaded document can prove current merchant capability.</w:t>
            </w:r>
          </w:p>
        </w:tc>
      </w:tr>
      <w:tr>
        <w:tc>
          <w:tcPr>
            <w:tcW w:type="dxa" w:w="511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Paired synthetic replay measures behavior inside our controlled simulator.</w:t>
            </w:r>
          </w:p>
        </w:tc>
        <w:tc>
          <w:tcPr>
            <w:tcW w:type="dxa" w:w="511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The replay proves real-world causal conversion uplift.</w:t>
            </w:r>
          </w:p>
        </w:tc>
      </w:tr>
      <w:tr>
        <w:tc>
          <w:tcPr>
            <w:tcW w:type="dxa" w:w="511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Candidate B clears the configured contribution floor under stated, auditable demo economics.</w:t>
            </w:r>
          </w:p>
        </w:tc>
        <w:tc>
          <w:tcPr>
            <w:tcW w:type="dxa" w:w="5112"/>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The same percentage will apply to every merchant or payment method.</w:t>
            </w:r>
          </w:p>
        </w:tc>
      </w:tr>
      <w:tr>
        <w:tc>
          <w:tcPr>
            <w:tcW w:type="dxa" w:w="511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Razorpay Test Mode transaction path is real; money is simulated.</w:t>
            </w:r>
          </w:p>
        </w:tc>
        <w:tc>
          <w:tcPr>
            <w:tcW w:type="dxa" w:w="5112"/>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7"/>
              </w:rPr>
              <w:t>We have proven production settlement behavior.</w:t>
            </w:r>
          </w:p>
        </w:tc>
      </w:tr>
    </w:tbl>
    <w:p>
      <w:pPr>
        <w:spacing w:after="20"/>
      </w:pPr>
    </w:p>
    <w:p>
      <w:pPr>
        <w:pStyle w:val="Heading1"/>
        <w:spacing w:before="280" w:after="140"/>
      </w:pPr>
      <w:r>
        <w:rPr>
          <w:rFonts w:ascii="Aptos" w:hAnsi="Aptos"/>
          <w:b/>
          <w:color w:val="132238"/>
          <w:sz w:val="38"/>
        </w:rPr>
        <w:t>18. Final Pitch</w:t>
      </w: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1F5EFF"/>
            <w:tcBorders>
              <w:top w:val="nil"/>
              <w:left w:val="nil"/>
              <w:bottom w:val="nil"/>
              <w:right w:val="nil"/>
            </w:tcBorders>
          </w:tcPr>
          <w:p/>
        </w:tc>
        <w:tc>
          <w:tcPr>
            <w:tcW w:type="dxa" w:w="5083"/>
            <w:shd w:fill="EEF4FF"/>
            <w:tcBorders>
              <w:top w:val="nil"/>
              <w:left w:val="nil"/>
              <w:bottom w:val="nil"/>
              <w:right w:val="nil"/>
            </w:tcBorders>
          </w:tcPr>
          <w:p>
            <w:pPr>
              <w:spacing w:after="40"/>
            </w:pPr>
            <w:r>
              <w:rPr>
                <w:rFonts w:ascii="Aptos" w:hAnsi="Aptos"/>
                <w:b/>
                <w:i w:val="0"/>
                <w:color w:val="1F5EFF"/>
                <w:sz w:val="21"/>
              </w:rPr>
              <w:t>PRIMARY PITCH</w:t>
              <w:br/>
            </w:r>
            <w:r>
              <w:rPr>
                <w:rFonts w:ascii="Aptos" w:hAnsi="Aptos"/>
                <w:b w:val="0"/>
                <w:i w:val="0"/>
                <w:color w:val="1D2733"/>
                <w:sz w:val="20"/>
              </w:rPr>
              <w:t>AI commerce creates a machine-side funnel that standard web analytics cannot see. ShadowFunnel observes agents once they query the merchant, identifies the exact constraint blocking conversion, verifies missing commercial facts when current authority exists, and forms only offers that satisfy the buyer while preserving merchant contribution. When the offer is safe, it becomes a real Razorpay transaction; when it is not, the system blocks it and shows why.</w:t>
            </w:r>
          </w:p>
        </w:tc>
      </w:tr>
    </w:tbl>
    <w:p>
      <w:pPr>
        <w:spacing w:after="20"/>
      </w:pP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198754"/>
            <w:tcBorders>
              <w:top w:val="nil"/>
              <w:left w:val="nil"/>
              <w:bottom w:val="nil"/>
              <w:right w:val="nil"/>
            </w:tcBorders>
          </w:tcPr>
          <w:p/>
        </w:tc>
        <w:tc>
          <w:tcPr>
            <w:tcW w:type="dxa" w:w="5083"/>
            <w:shd w:fill="EEF9F3"/>
            <w:tcBorders>
              <w:top w:val="nil"/>
              <w:left w:val="nil"/>
              <w:bottom w:val="nil"/>
              <w:right w:val="nil"/>
            </w:tcBorders>
          </w:tcPr>
          <w:p>
            <w:pPr>
              <w:spacing w:after="40"/>
            </w:pPr>
            <w:r>
              <w:rPr>
                <w:rFonts w:ascii="Aptos" w:hAnsi="Aptos"/>
                <w:b/>
                <w:i w:val="0"/>
                <w:color w:val="198754"/>
                <w:sz w:val="21"/>
              </w:rPr>
              <w:t>SHORT VERSION</w:t>
              <w:br/>
            </w:r>
            <w:r>
              <w:rPr>
                <w:rFonts w:ascii="Aptos" w:hAnsi="Aptos"/>
                <w:b w:val="0"/>
                <w:i w:val="0"/>
                <w:color w:val="1D2733"/>
                <w:sz w:val="20"/>
              </w:rPr>
              <w:t>ShadowFunnel is the conversion intelligence and seller-policy layer between an AI buyer’s query and Razorpay checkout.</w:t>
            </w:r>
          </w:p>
        </w:tc>
      </w:tr>
    </w:tbl>
    <w:p>
      <w:pPr>
        <w:spacing w:after="20"/>
      </w:pPr>
    </w:p>
    <w:p>
      <w:r>
        <w:br w:type="page"/>
      </w:r>
    </w:p>
    <w:p>
      <w:pPr>
        <w:pStyle w:val="Heading1"/>
        <w:spacing w:before="280" w:after="140"/>
      </w:pPr>
      <w:r>
        <w:rPr>
          <w:rFonts w:ascii="Aptos" w:hAnsi="Aptos"/>
          <w:b/>
          <w:color w:val="132238"/>
          <w:sz w:val="38"/>
        </w:rPr>
        <w:t>19. Primary Sources and Implementation References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5"/>
              </w:rPr>
              <w:t>Source</w:t>
            </w:r>
          </w:p>
        </w:tc>
        <w:tc>
          <w:tcPr>
            <w:tcW w:type="dxa" w:w="432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5"/>
              </w:rPr>
              <w:t>URL</w:t>
            </w:r>
          </w:p>
        </w:tc>
        <w:tc>
          <w:tcPr>
            <w:tcW w:type="dxa" w:w="2880"/>
            <w:shd w:fill="132238"/>
            <w:vAlign w:val="center"/>
            <w:tcBorders>
              <w:top w:val="single" w:sz="4" w:color="D7DEE7"/>
              <w:left w:val="single" w:sz="4" w:color="D7DEE7"/>
              <w:bottom w:val="single" w:sz="4" w:color="D7DEE7"/>
              <w:right w:val="single" w:sz="4" w:color="D7DEE7"/>
            </w:tcBorders>
          </w:tcPr>
          <w:p>
            <w:pPr>
              <w:jc w:val="left"/>
            </w:pPr>
            <w:r>
              <w:rPr>
                <w:rFonts w:ascii="Aptos" w:hAnsi="Aptos"/>
                <w:b/>
                <w:i w:val="0"/>
                <w:color w:val="FFFFFF"/>
                <w:sz w:val="15"/>
              </w:rPr>
              <w:t>Used for</w:t>
            </w:r>
          </w:p>
        </w:tc>
      </w:tr>
      <w:tr>
        <w:tc>
          <w:tcPr>
            <w:tcW w:type="dxa" w:w="30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Razorpay AI Buildathon 2026 — Track 01 brief</w:t>
            </w:r>
          </w:p>
        </w:tc>
        <w:tc>
          <w:tcPr>
            <w:tcW w:type="dxa" w:w="432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https://razorpay.com/buildathon/</w:t>
            </w:r>
          </w:p>
        </w:tc>
        <w:tc>
          <w:tcPr>
            <w:tcW w:type="dxa" w:w="28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Track objective and bounded/gated/audit/failure bar as provided in the challenge brief.</w:t>
            </w:r>
          </w:p>
        </w:tc>
      </w:tr>
      <w:tr>
        <w:tc>
          <w:tcPr>
            <w:tcW w:type="dxa" w:w="30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Razorpay Pricing</w:t>
            </w:r>
          </w:p>
        </w:tc>
        <w:tc>
          <w:tcPr>
            <w:tcW w:type="dxa" w:w="432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https://razorpay.com/pricing/</w:t>
            </w:r>
          </w:p>
        </w:tc>
        <w:tc>
          <w:tcPr>
            <w:tcW w:type="dxa" w:w="28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Primary public pricing source; standard platform pricing is shown as 2% + GST.</w:t>
            </w:r>
          </w:p>
        </w:tc>
      </w:tr>
      <w:tr>
        <w:tc>
          <w:tcPr>
            <w:tcW w:type="dxa" w:w="30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Razorpay Invoices / official product pricing disclosure</w:t>
            </w:r>
          </w:p>
        </w:tc>
        <w:tc>
          <w:tcPr>
            <w:tcW w:type="dxa" w:w="432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https://razorpay.com/invoices/</w:t>
            </w:r>
          </w:p>
        </w:tc>
        <w:tc>
          <w:tcPr>
            <w:tcW w:type="dxa" w:w="28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Official Razorpay page showing premium instruments including corporate/business credit cards at 3% + GST.</w:t>
            </w:r>
          </w:p>
        </w:tc>
      </w:tr>
      <w:tr>
        <w:tc>
          <w:tcPr>
            <w:tcW w:type="dxa" w:w="30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Standard Checkout — Integration Steps</w:t>
            </w:r>
          </w:p>
        </w:tc>
        <w:tc>
          <w:tcPr>
            <w:tcW w:type="dxa" w:w="432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https://razorpay.com/docs/payments/payment-gateway/web-integration/standard/integration-steps/</w:t>
            </w:r>
          </w:p>
        </w:tc>
        <w:tc>
          <w:tcPr>
            <w:tcW w:type="dxa" w:w="28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Server-side Order creation, mandatory Checkout signature verification, status verification and polling/webhook guidance.</w:t>
            </w:r>
          </w:p>
        </w:tc>
      </w:tr>
      <w:tr>
        <w:tc>
          <w:tcPr>
            <w:tcW w:type="dxa" w:w="30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Standard Checkout — Best Practices</w:t>
            </w:r>
          </w:p>
        </w:tc>
        <w:tc>
          <w:tcPr>
            <w:tcW w:type="dxa" w:w="432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https://razorpay.com/docs/payments/payment-gateway/web-integration/standard/best-practices/</w:t>
            </w:r>
          </w:p>
        </w:tc>
        <w:tc>
          <w:tcPr>
            <w:tcW w:type="dxa" w:w="28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Check captured/paid state and use webhooks/query APIs before providing service.</w:t>
            </w:r>
          </w:p>
        </w:tc>
      </w:tr>
      <w:tr>
        <w:tc>
          <w:tcPr>
            <w:tcW w:type="dxa" w:w="30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Validate and Test Webhooks</w:t>
            </w:r>
          </w:p>
        </w:tc>
        <w:tc>
          <w:tcPr>
            <w:tcW w:type="dxa" w:w="432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https://razorpay.com/docs/webhooks/validate-test/</w:t>
            </w:r>
          </w:p>
        </w:tc>
        <w:tc>
          <w:tcPr>
            <w:tcW w:type="dxa" w:w="28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Raw-body HMAC verification, X-Razorpay-Signature and x-razorpay-event-id duplicate handling.</w:t>
            </w:r>
          </w:p>
        </w:tc>
      </w:tr>
      <w:tr>
        <w:tc>
          <w:tcPr>
            <w:tcW w:type="dxa" w:w="3024"/>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Webhook Best Practices</w:t>
            </w:r>
          </w:p>
        </w:tc>
        <w:tc>
          <w:tcPr>
            <w:tcW w:type="dxa" w:w="432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https://razorpay.com/docs/webhooks/best-practices/</w:t>
            </w:r>
          </w:p>
        </w:tc>
        <w:tc>
          <w:tcPr>
            <w:tcW w:type="dxa" w:w="2880"/>
            <w:shd w:fill="FFFFFF"/>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At-least-once delivery, 5-second timeout behavior, retry semantics and synchronous polling recommendation.</w:t>
            </w:r>
          </w:p>
        </w:tc>
      </w:tr>
      <w:tr>
        <w:tc>
          <w:tcPr>
            <w:tcW w:type="dxa" w:w="3024"/>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Razorpay Agentic Payments</w:t>
            </w:r>
          </w:p>
        </w:tc>
        <w:tc>
          <w:tcPr>
            <w:tcW w:type="dxa" w:w="432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https://razorpay.com/agentic-payments/</w:t>
            </w:r>
          </w:p>
        </w:tc>
        <w:tc>
          <w:tcPr>
            <w:tcW w:type="dxa" w:w="2880"/>
            <w:shd w:fill="F8FAFC"/>
            <w:vAlign w:val="top"/>
            <w:tcBorders>
              <w:top w:val="single" w:sz="4" w:color="D7DEE7"/>
              <w:left w:val="single" w:sz="4" w:color="D7DEE7"/>
              <w:bottom w:val="single" w:sz="4" w:color="D7DEE7"/>
              <w:right w:val="single" w:sz="4" w:color="D7DEE7"/>
            </w:tcBorders>
          </w:tcPr>
          <w:p>
            <w:pPr>
              <w:spacing w:after="0"/>
            </w:pPr>
            <w:r>
              <w:rPr>
                <w:rFonts w:ascii="Aptos" w:hAnsi="Aptos"/>
                <w:b w:val="0"/>
                <w:i w:val="0"/>
                <w:color w:val="1D2733"/>
                <w:sz w:val="15"/>
              </w:rPr>
              <w:t>Current context for AI-native, bounded agentic payment journeys.</w:t>
            </w:r>
          </w:p>
        </w:tc>
      </w:tr>
    </w:tbl>
    <w:p>
      <w:pPr>
        <w:spacing w:after="20"/>
      </w:pPr>
    </w:p>
    <w:p>
      <w:pPr>
        <w:spacing w:after="100" w:line="259" w:lineRule="auto"/>
      </w:pPr>
      <w:r>
        <w:rPr>
          <w:rFonts w:ascii="Aptos" w:hAnsi="Aptos"/>
          <w:b w:val="0"/>
          <w:i w:val="0"/>
          <w:color w:val="1D2733"/>
          <w:sz w:val="21"/>
        </w:rPr>
        <w:t>Pricing and tax assumptions in this document are configuration for the hackathon demo, not universal accounting or tax advice. A live merchant must use its contracted processor rate, tax profile and recoverability rules.</w:t>
      </w:r>
    </w:p>
    <w:p>
      <w:r>
        <w:br w:type="page"/>
      </w:r>
    </w:p>
    <w:p>
      <w:pPr>
        <w:pStyle w:val="Heading1"/>
        <w:spacing w:before="280" w:after="140"/>
      </w:pPr>
      <w:r>
        <w:rPr>
          <w:rFonts w:ascii="Aptos" w:hAnsi="Aptos"/>
          <w:b/>
          <w:color w:val="132238"/>
          <w:sz w:val="38"/>
        </w:rPr>
        <w:t>20. Final Shipping Checklist</w:t>
      </w:r>
    </w:p>
    <w:p>
      <w:pPr>
        <w:pStyle w:val="ListBullet"/>
        <w:spacing w:after="40"/>
      </w:pPr>
      <w:r>
        <w:rPr>
          <w:rFonts w:ascii="Aptos" w:hAnsi="Aptos"/>
          <w:b w:val="0"/>
          <w:i w:val="0"/>
          <w:color w:val="1D2733"/>
          <w:sz w:val="21"/>
        </w:rPr>
        <w:t>P0 transaction works end-to-end in Razorpay Test Mode.</w:t>
      </w:r>
    </w:p>
    <w:p>
      <w:pPr>
        <w:pStyle w:val="ListBullet"/>
        <w:spacing w:after="40"/>
      </w:pPr>
      <w:r>
        <w:rPr>
          <w:rFonts w:ascii="Aptos" w:hAnsi="Aptos"/>
          <w:b w:val="0"/>
          <w:i w:val="0"/>
          <w:color w:val="1D2733"/>
          <w:sz w:val="21"/>
        </w:rPr>
        <w:t>Scenario B unit tests reproduce: baseline ₹8,230 rejection; Candidate A 21.88% BLOCK; Candidate B 27.55% ALLOW.</w:t>
      </w:r>
    </w:p>
    <w:p>
      <w:pPr>
        <w:pStyle w:val="ListBullet"/>
        <w:spacing w:after="40"/>
      </w:pPr>
      <w:r>
        <w:rPr>
          <w:rFonts w:ascii="Aptos" w:hAnsi="Aptos"/>
          <w:b w:val="0"/>
          <w:i w:val="0"/>
          <w:color w:val="1D2733"/>
          <w:sz w:val="21"/>
        </w:rPr>
        <w:t>GST hard constraint is VERIFIED_CURRENT before any margin rescue is evaluated.</w:t>
      </w:r>
    </w:p>
    <w:p>
      <w:pPr>
        <w:pStyle w:val="ListBullet"/>
        <w:spacing w:after="40"/>
      </w:pPr>
      <w:r>
        <w:rPr>
          <w:rFonts w:ascii="Aptos" w:hAnsi="Aptos"/>
          <w:b w:val="0"/>
          <w:i w:val="0"/>
          <w:color w:val="1D2733"/>
          <w:sz w:val="21"/>
        </w:rPr>
        <w:t>FSC document unblocking uses a real validity window and deterministic verification rule.</w:t>
      </w:r>
    </w:p>
    <w:p>
      <w:pPr>
        <w:pStyle w:val="ListBullet"/>
        <w:spacing w:after="40"/>
      </w:pPr>
      <w:r>
        <w:rPr>
          <w:rFonts w:ascii="Aptos" w:hAnsi="Aptos"/>
          <w:b w:val="0"/>
          <w:i w:val="0"/>
          <w:color w:val="1D2733"/>
          <w:sz w:val="21"/>
        </w:rPr>
        <w:t>Location stock is atomically reserved and tied to the policy decision.</w:t>
      </w:r>
    </w:p>
    <w:p>
      <w:pPr>
        <w:pStyle w:val="ListBullet"/>
        <w:spacing w:after="40"/>
      </w:pPr>
      <w:r>
        <w:rPr>
          <w:rFonts w:ascii="Aptos" w:hAnsi="Aptos"/>
          <w:b w:val="0"/>
          <w:i w:val="0"/>
          <w:color w:val="1D2733"/>
          <w:sz w:val="21"/>
        </w:rPr>
        <w:t>Checkout signature + server-side fetched amount/currency/status are verified.</w:t>
      </w:r>
    </w:p>
    <w:p>
      <w:pPr>
        <w:pStyle w:val="ListBullet"/>
        <w:spacing w:after="40"/>
      </w:pPr>
      <w:r>
        <w:rPr>
          <w:rFonts w:ascii="Aptos" w:hAnsi="Aptos"/>
          <w:b w:val="0"/>
          <w:i w:val="0"/>
          <w:color w:val="1D2733"/>
          <w:sz w:val="21"/>
        </w:rPr>
        <w:t>Webhook raw-body signature and event-id idempotency are implemented.</w:t>
      </w:r>
    </w:p>
    <w:p>
      <w:pPr>
        <w:pStyle w:val="ListBullet"/>
        <w:spacing w:after="40"/>
      </w:pPr>
      <w:r>
        <w:rPr>
          <w:rFonts w:ascii="Aptos" w:hAnsi="Aptos"/>
          <w:b w:val="0"/>
          <w:i w:val="0"/>
          <w:color w:val="1D2733"/>
          <w:sz w:val="21"/>
        </w:rPr>
        <w:t>Isolated paired replay has zero unexplained regressions.</w:t>
      </w:r>
    </w:p>
    <w:p>
      <w:pPr>
        <w:pStyle w:val="ListBullet"/>
        <w:spacing w:after="40"/>
      </w:pPr>
      <w:r>
        <w:rPr>
          <w:rFonts w:ascii="Aptos" w:hAnsi="Aptos"/>
          <w:b w:val="0"/>
          <w:i w:val="0"/>
          <w:color w:val="1D2733"/>
          <w:sz w:val="21"/>
        </w:rPr>
        <w:t>Portfolio replay labels any regressions by inventory/capacity mechanism.</w:t>
      </w:r>
    </w:p>
    <w:p>
      <w:pPr>
        <w:pStyle w:val="ListBullet"/>
        <w:spacing w:after="40"/>
      </w:pPr>
      <w:r>
        <w:rPr>
          <w:rFonts w:ascii="Aptos" w:hAnsi="Aptos"/>
          <w:b w:val="0"/>
          <w:i w:val="0"/>
          <w:color w:val="1D2733"/>
          <w:sz w:val="21"/>
        </w:rPr>
        <w:t>Opportunity screen ranks replay-estimated net incremental contribution, not represented GMV alone.</w:t>
      </w:r>
    </w:p>
    <w:p>
      <w:pPr>
        <w:pStyle w:val="ListBullet"/>
        <w:spacing w:after="40"/>
      </w:pPr>
      <w:r>
        <w:rPr>
          <w:rFonts w:ascii="Aptos" w:hAnsi="Aptos"/>
          <w:b w:val="0"/>
          <w:i w:val="0"/>
          <w:color w:val="1D2733"/>
          <w:sz w:val="21"/>
        </w:rPr>
        <w:t>No UI or pitch claims visibility into agents that never query the merchant.</w:t>
      </w:r>
    </w:p>
    <w:p>
      <w:pPr>
        <w:pStyle w:val="ListBullet"/>
        <w:spacing w:after="40"/>
      </w:pPr>
      <w:r>
        <w:rPr>
          <w:rFonts w:ascii="Aptos" w:hAnsi="Aptos"/>
          <w:b w:val="0"/>
          <w:i w:val="0"/>
          <w:color w:val="1D2733"/>
          <w:sz w:val="21"/>
        </w:rPr>
        <w:t>Demo failure visibly blocks payment creation or fulfilment instead of merely showing a warning.</w:t>
      </w:r>
    </w:p>
    <w:tbl>
      <w:tblPr>
        <w:tblW w:type="auto" w:w="0"/>
        <w:jc w:val="center"/>
        <w:tblLayout w:type="fixed"/>
        <w:tblLook w:firstColumn="1" w:firstRow="1" w:lastColumn="0" w:lastRow="0" w:noHBand="0" w:noVBand="1" w:val="04A0"/>
      </w:tblPr>
      <w:tblGrid>
        <w:gridCol w:w="173"/>
        <w:gridCol w:w="9864"/>
      </w:tblGrid>
      <w:tr>
        <w:trPr>
          <w:cantSplit/>
        </w:trPr>
        <w:tc>
          <w:tcPr>
            <w:tcW w:type="dxa" w:w="5083"/>
            <w:shd w:fill="B42318"/>
            <w:tcBorders>
              <w:top w:val="nil"/>
              <w:left w:val="nil"/>
              <w:bottom w:val="nil"/>
              <w:right w:val="nil"/>
            </w:tcBorders>
          </w:tcPr>
          <w:p/>
        </w:tc>
        <w:tc>
          <w:tcPr>
            <w:tcW w:type="dxa" w:w="5083"/>
            <w:shd w:fill="FFF1F0"/>
            <w:tcBorders>
              <w:top w:val="nil"/>
              <w:left w:val="nil"/>
              <w:bottom w:val="nil"/>
              <w:right w:val="nil"/>
            </w:tcBorders>
          </w:tcPr>
          <w:p>
            <w:pPr>
              <w:spacing w:after="40"/>
            </w:pPr>
            <w:r>
              <w:rPr>
                <w:rFonts w:ascii="Aptos" w:hAnsi="Aptos"/>
                <w:b/>
                <w:i w:val="0"/>
                <w:color w:val="B42318"/>
                <w:sz w:val="21"/>
              </w:rPr>
              <w:t>STOP CONDITION</w:t>
              <w:br/>
            </w:r>
            <w:r>
              <w:rPr>
                <w:rFonts w:ascii="Aptos" w:hAnsi="Aptos"/>
                <w:b w:val="0"/>
                <w:i w:val="0"/>
                <w:color w:val="1D2733"/>
                <w:sz w:val="20"/>
              </w:rPr>
              <w:t>Once P0 and the flagship P1 loop are polished, stop adding agents. A narrow system whose accounting, evidence, inventory and payment state can survive hostile questioning is more likely to score than a wider system with unverifiable “AI” features.</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D6B7A"/>
        <w:sz w:val="16"/>
      </w:rPr>
      <w:t>Razorpay AI Buildathon 2026  |  Track 01 — AI Growth &amp; Agentic Commerce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D6B7A"/>
        <w:sz w:val="16"/>
      </w:rPr>
      <w:t>SHADOWFUNNEL  •  FINAL ENGINEERING SPEC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ShadowFunnel — Final Engineering Specification v2.0</dc:title>
  <dc:subject>Razorpay AI Buildathon 2026 Track 01</dc:subject>
  <dc:creator>python-docx</dc:creator>
  <cp:keywords>ShadowFunnel, Razorpay, Agentic Commerce, AI Buyer, Contribution Margin, Audit, Merchant Truth</cp:keywords>
  <dc:description>generated by python-docx</dc:description>
  <cp:lastModifiedBy/>
  <cp:revision>1</cp:revision>
  <dcterms:created xsi:type="dcterms:W3CDTF">2013-12-23T23:15:00Z</dcterms:created>
  <dcterms:modified xsi:type="dcterms:W3CDTF">2013-12-23T23:15:00Z</dcterms:modified>
  <cp:category/>
</cp:coreProperties>
</file>