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4"/>
          <w:szCs w:val="34"/>
        </w:rPr>
        <w:t xml:space="preserve">Change-of-Control Extraction and Risk Report</w:t>
      </w:r>
    </w:p>
    <w:p>
      <w:pPr>
        <w:pStyle w:val="Subtitle"/>
      </w:pPr>
      <w:r>
        <w:rPr>
          <w:i/>
          <w:sz w:val="22"/>
          <w:szCs w:val="22"/>
        </w:rPr>
        <w:t xml:space="preserve">Acquisition Target: Apex Industrial Technologies, Inc.</w:t>
      </w:r>
    </w:p>
    <w:p>
      <w:pPr>
        <w:pStyle w:val="Subtitle"/>
      </w:pPr>
      <w:r>
        <w:rPr>
          <w:i/>
          <w:sz w:val="22"/>
          <w:szCs w:val="22"/>
        </w:rPr>
        <w:t xml:space="preserve">Prepared from all eight supplied contract text files</w:t>
      </w:r>
    </w:p>
    <w:p>
      <w:pPr>
        <w:pStyle w:val="Heading1"/>
      </w:pPr>
      <w:r>
        <w:rPr>
          <w:b/>
          <w:sz w:val="28"/>
          <w:szCs w:val="28"/>
        </w:rPr>
        <w:t xml:space="preserve">Purpose and Scope</w:t>
      </w:r>
    </w:p>
    <w:p>
      <w:pPr>
        <w:spacing w:after="120" w:line="276" w:lineRule="auto"/>
      </w:pPr>
      <w:r>
        <w:rPr>
          <w:sz w:val="20"/>
          <w:szCs w:val="20"/>
        </w:rPr>
        <w:t xml:space="preserve">This report extracts express and implied change-of-control, assignment, transfer, consent, notice, termination, default, buy-out, run-off, tail, and related transaction provisions from every supplied document. It is intended for acquisition diligence and closing planning and should be read together with executed originals, amendments, schedules, notices, and applicable governing-law advice.</w:t>
      </w:r>
    </w:p>
    <w:p>
      <w:pPr>
        <w:pStyle w:val="Heading1"/>
      </w:pPr>
      <w:r>
        <w:rPr>
          <w:b/>
          <w:sz w:val="28"/>
          <w:szCs w:val="28"/>
        </w:rPr>
        <w:t xml:space="preserve">Executive Summary</w:t>
      </w:r>
    </w:p>
    <w:p>
      <w:pPr>
        <w:spacing w:after="120" w:line="276" w:lineRule="auto"/>
      </w:pPr>
      <w:r>
        <w:rPr>
          <w:sz w:val="20"/>
          <w:szCs w:val="20"/>
        </w:rPr>
        <w:t xml:space="preserve">The portfolio presents material transaction-execution risk. The highest-risk items are the Apex-Kenji Joint Venture Agreement, the Summit Credit Agreement, the Hendricks technology license, the Crescent Ridge headquarters lease, the PacWest public-sector supply agreement, and the product-liability policy. These documents contain, respectively, a post-closing buy-out option, financing default consequences, possible loss of critical technology rights, landlord-consent requirements, public-contract termination and procurement risks, and automatic insurance run-off with no coverage for post-closing products.</w:t>
      </w:r>
    </w:p>
    <w:p>
      <w:pPr>
        <w:spacing w:after="120" w:line="276" w:lineRule="auto"/>
      </w:pPr>
      <w:r>
        <w:rPr>
          <w:sz w:val="20"/>
          <w:szCs w:val="20"/>
        </w:rPr>
        <w:t xml:space="preserve">The transaction structure must be analyzed separately under each instrument. A stock purchase, upstream acquisition, merger, and asset acquisition are not treated uniformly. Advance written consents, waivers, lender arrangements, replacement insurance, and acquisition-agreement protections should be treated as material signing or closing deliverables.</w:t>
      </w:r>
    </w:p>
    <w:p>
      <w:pPr>
        <w:pStyle w:val="Heading1"/>
      </w:pPr>
      <w:r>
        <w:rPr>
          <w:b/>
          <w:sz w:val="28"/>
          <w:szCs w:val="28"/>
        </w:rPr>
        <w:t xml:space="preserve">Portfolio Risk Matrix</w:t>
      </w:r>
    </w:p>
    <w:p>
      <w:pPr>
        <w:ind w:left="360" w:hanging="180"/>
      </w:pPr>
      <w:r>
        <w:rPr>
          <w:sz w:val="20"/>
          <w:szCs w:val="20"/>
        </w:rPr>
        <w:t xml:space="preserve">Apex-Kenji Joint Venture Agreement — HIGH: broad direct/indirect change-of-control trigger; 90-day buy-out option; 4.5x trailing EBITDA valuation; transfer restrictions and tag-along rights.</w:t>
      </w:r>
    </w:p>
    <w:p>
      <w:pPr>
        <w:ind w:left="360" w:hanging="180"/>
      </w:pPr>
      <w:r>
        <w:rPr>
          <w:sz w:val="20"/>
          <w:szCs w:val="20"/>
        </w:rPr>
        <w:t xml:space="preserve">Summit Credit Agreement — HIGH: more-than-50% borrower voting-stock trigger and subsidiary ownership test; Event of Default; potential acceleration and mandatory prepayment.</w:t>
      </w:r>
    </w:p>
    <w:p>
      <w:pPr>
        <w:ind w:left="360" w:hanging="180"/>
      </w:pPr>
      <w:r>
        <w:rPr>
          <w:sz w:val="20"/>
          <w:szCs w:val="20"/>
        </w:rPr>
        <w:t xml:space="preserve">Hendricks License Agreement — HIGH: merger, substantially-all-assets, and more-than-50% ownership triggers; non-transferable critical technology license; termination exposure.</w:t>
      </w:r>
    </w:p>
    <w:p>
      <w:pPr>
        <w:ind w:left="360" w:hanging="180"/>
      </w:pPr>
      <w:r>
        <w:rPr>
          <w:sz w:val="20"/>
          <w:szCs w:val="20"/>
        </w:rPr>
        <w:t xml:space="preserve">Hesse Employment Agreement — MEDIUM/HIGH: merger is expressly a Change of Control; executive severance and equity-award obligations require modeling.</w:t>
      </w:r>
    </w:p>
    <w:p>
      <w:pPr>
        <w:ind w:left="360" w:hanging="180"/>
      </w:pPr>
      <w:r>
        <w:rPr>
          <w:sz w:val="20"/>
          <w:szCs w:val="20"/>
        </w:rPr>
        <w:t xml:space="preserve">Crescent Ridge Headquarters Lease — HIGH: broad Deemed Assignment regime requiring prior landlord consent for control changes and specified restructurings.</w:t>
      </w:r>
    </w:p>
    <w:p>
      <w:pPr>
        <w:ind w:left="360" w:hanging="180"/>
      </w:pPr>
      <w:r>
        <w:rPr>
          <w:sz w:val="20"/>
          <w:szCs w:val="20"/>
        </w:rPr>
        <w:t xml:space="preserve">Northland Refining MSA — MEDIUM: no standalone change-of-control clause, but assignment, affiliate, termination, and performance provisions create diligence risk.</w:t>
      </w:r>
    </w:p>
    <w:p>
      <w:pPr>
        <w:ind w:left="360" w:hanging="180"/>
      </w:pPr>
      <w:r>
        <w:rPr>
          <w:sz w:val="20"/>
          <w:szCs w:val="20"/>
        </w:rPr>
        <w:t xml:space="preserve">PacWest Supply Agreement — HIGH: express change-of-control definition, termination rights, 180-day non-renewal deadline, and public procurement risks.</w:t>
      </w:r>
    </w:p>
    <w:p>
      <w:pPr>
        <w:ind w:left="360" w:hanging="180"/>
      </w:pPr>
      <w:r>
        <w:rPr>
          <w:sz w:val="20"/>
          <w:szCs w:val="20"/>
        </w:rPr>
        <w:t xml:space="preserve">Product Liability Policy — HIGH: automatic run-off on Change of Control; no post-closing product coverage; insurer assignment consent and costly tail election.</w:t>
      </w:r>
    </w:p>
    <w:p>
      <w:pPr>
        <w:pStyle w:val="Heading1"/>
      </w:pPr>
      <w:r>
        <w:rPr>
          <w:b/>
          <w:sz w:val="28"/>
          <w:szCs w:val="28"/>
        </w:rPr>
        <w:t xml:space="preserve">Transaction-Structure Analysis</w:t>
      </w:r>
    </w:p>
    <w:p>
      <w:pPr>
        <w:spacing w:after="120" w:line="276" w:lineRule="auto"/>
      </w:pPr>
      <w:r>
        <w:rPr>
          <w:sz w:val="20"/>
          <w:szCs w:val="20"/>
        </w:rPr>
        <w:t xml:space="preserve">Stock or upstream acquisition: Several instruments cover direct or indirect ownership, beneficial ownership, ultimate control, or management-control changes. An upstream acquisition may therefore trigger provisions even if Apex's immediate equity holders do not change.</w:t>
      </w:r>
    </w:p>
    <w:p>
      <w:pPr>
        <w:spacing w:after="120" w:line="276" w:lineRule="auto"/>
      </w:pPr>
      <w:r>
        <w:rPr>
          <w:sz w:val="20"/>
          <w:szCs w:val="20"/>
        </w:rPr>
        <w:t xml:space="preserve">Merger or reorganization: Mergers are expressly addressed in the JV Agreement, Hendricks license, Hesse employment agreement, PacWest agreement, insurance policy, and credit-agreement framework. Surviving-entity and pre-transaction-holder voting tests must be applied instrument by instrument.</w:t>
      </w:r>
    </w:p>
    <w:p>
      <w:pPr>
        <w:spacing w:after="120" w:line="276" w:lineRule="auto"/>
      </w:pPr>
      <w:r>
        <w:rPr>
          <w:sz w:val="20"/>
          <w:szCs w:val="20"/>
        </w:rPr>
        <w:t xml:space="preserve">Asset acquisition: Substantially-all-assets transfers are expressly covered in several documents. The JV Agreement treats a Member asset sale differently unless it also changes management or policy control, while a sale of substantially all Company assets requires specified governance approval.</w:t>
      </w:r>
    </w:p>
    <w:p>
      <w:pPr>
        <w:pStyle w:val="Heading1"/>
      </w:pPr>
      <w:r>
        <w:rPr>
          <w:b/>
          <w:sz w:val="28"/>
          <w:szCs w:val="28"/>
        </w:rPr>
        <w:t xml:space="preserve">Apex-Kenji Joint Venture Agreement</w:t>
      </w:r>
    </w:p>
    <w:p>
      <w:r>
        <w:rPr>
          <w:i/>
          <w:sz w:val="18"/>
          <w:szCs w:val="18"/>
        </w:rPr>
        <w:t xml:space="preserve">Source file: apex-kenji-jv-agreement.docx.txt</w:t>
      </w:r>
    </w:p>
    <w:p>
      <w:pPr>
        <w:pStyle w:val="Heading2"/>
      </w:pPr>
      <w:r>
        <w:rPr>
          <w:b/>
          <w:sz w:val="24"/>
          <w:szCs w:val="24"/>
        </w:rPr>
        <w:t xml:space="preserve">Change-of-Control and Transaction-Risk Diligence</w:t>
      </w:r>
    </w:p>
    <w:p>
      <w:pPr>
        <w:pStyle w:val="Heading3"/>
      </w:pPr>
      <w:r>
        <w:rPr>
          <w:b/>
          <w:sz w:val="21"/>
          <w:szCs w:val="21"/>
        </w:rPr>
        <w:t xml:space="preserve">Parties and context</w:t>
      </w:r>
    </w:p>
    <w:p>
      <w:pPr>
        <w:spacing w:after="120" w:line="276" w:lineRule="auto"/>
      </w:pPr>
      <w:r>
        <w:rPr>
          <w:sz w:val="20"/>
          <w:szCs w:val="20"/>
        </w:rPr>
        <w:t xml:space="preserve">The Apex-Kenji JV Agreement (the **Agreement**) governs the joint venture company (the **Company**) owned by Apex and Kenji (each a **Member**). The Agreement is dated **April 3, 2017**. Apex designates three of the Company’s five Managers and Kenji designates two. A quorum requires at least four Managers, including at least one Manager designated by each Member; specified **Reserved Matters** require unanimous approval of all five Managers. Relevant provisions are in **Article I, Article VI, Article VII, Article XI, Article XII, Article XIII, Article XIV, Article XV, Article XVII, and Exhibit B**.</w:t>
      </w:r>
    </w:p>
    <w:p>
      <w:pPr>
        <w:pStyle w:val="Heading3"/>
      </w:pPr>
      <w:r>
        <w:rPr>
          <w:b/>
          <w:sz w:val="21"/>
          <w:szCs w:val="21"/>
        </w:rPr>
        <w:t xml:space="preserve">Express Change-of-Control trigger</w:t>
      </w:r>
    </w:p>
    <w:p>
      <w:pPr>
        <w:spacing w:after="120" w:line="276" w:lineRule="auto"/>
      </w:pPr>
      <w:r>
        <w:rPr>
          <w:sz w:val="20"/>
          <w:szCs w:val="20"/>
        </w:rPr>
        <w:t xml:space="preserve">Article I defines **“Change of Control”** of a Member as:</w:t>
      </w:r>
    </w:p>
    <w:p>
      <w:pPr>
        <w:ind w:left="720"/>
      </w:pPr>
      <w:r>
        <w:rPr>
          <w:i/>
          <w:sz w:val="20"/>
          <w:szCs w:val="20"/>
        </w:rPr>
        <w:t xml:space="preserve">“the acquisition, directly or indirectly, by any Person or group of Persons acting in concert (other than such Member’s existing Affiliates as of the Effective Date), of fifty percent (50%) or more of the issued and outstanding voting equity interests of such Member, whether by purchase, merger, consolidation, recapitalization, reorganization, or otherwise, or any transaction or series of related transactions that results in a change in the power to direct or cause the direction of the management and policies of such Member.”</w:t>
      </w:r>
    </w:p>
    <w:p>
      <w:pPr>
        <w:spacing w:after="120" w:line="276" w:lineRule="auto"/>
      </w:pPr>
      <w:r>
        <w:rPr>
          <w:sz w:val="20"/>
          <w:szCs w:val="20"/>
        </w:rPr>
        <w:t xml:space="preserve">Accordingly, a Change of Control is triggered by:</w:t>
      </w:r>
    </w:p>
    <w:p>
      <w:pPr>
        <w:ind w:left="360" w:hanging="180"/>
      </w:pPr>
      <w:r>
        <w:rPr>
          <w:sz w:val="20"/>
          <w:szCs w:val="20"/>
        </w:rPr>
        <w:t xml:space="preserve">• direct or indirect acquisition of **50% or more** of a Member’s voting equity;</w:t>
      </w:r>
    </w:p>
    <w:p>
      <w:pPr>
        <w:ind w:left="360" w:hanging="180"/>
      </w:pPr>
      <w:r>
        <w:rPr>
          <w:sz w:val="20"/>
          <w:szCs w:val="20"/>
        </w:rPr>
        <w:t xml:space="preserve">• an acquisition by a Person or group acting in concert;</w:t>
      </w:r>
    </w:p>
    <w:p>
      <w:pPr>
        <w:ind w:left="360" w:hanging="180"/>
      </w:pPr>
      <w:r>
        <w:rPr>
          <w:sz w:val="20"/>
          <w:szCs w:val="20"/>
        </w:rPr>
        <w:t xml:space="preserve">• a purchase, merger, consolidation, recapitalization, reorganization, or other transaction; or</w:t>
      </w:r>
    </w:p>
    <w:p>
      <w:pPr>
        <w:ind w:left="360" w:hanging="180"/>
      </w:pPr>
      <w:r>
        <w:rPr>
          <w:sz w:val="20"/>
          <w:szCs w:val="20"/>
        </w:rPr>
        <w:t xml:space="preserve">• any transaction or series of related transactions changing the power to direct the Member’s management and policies, even if less than 50% of its voting equity is acquired.</w:t>
      </w:r>
    </w:p>
    <w:p>
      <w:pPr>
        <w:spacing w:after="120" w:line="276" w:lineRule="auto"/>
      </w:pPr>
      <w:r>
        <w:rPr>
          <w:sz w:val="20"/>
          <w:szCs w:val="20"/>
        </w:rPr>
        <w:t xml:space="preserve">The definition excludes acquisitions by the Member’s **existing Affiliates as of the Effective Date**. It does not expressly exclude newly formed or acquired Affiliates, acquisition vehicles, or a third-party parent that becomes an Affiliate through the transaction. “Affiliate” generally depends on **50% or more** voting ownership or equivalent management-control rights.</w:t>
      </w:r>
    </w:p>
    <w:p>
      <w:pPr>
        <w:spacing w:after="120" w:line="276" w:lineRule="auto"/>
      </w:pPr>
      <w:r>
        <w:rPr>
          <w:sz w:val="20"/>
          <w:szCs w:val="20"/>
        </w:rPr>
        <w:t xml:space="preserve">The definition is directed to a Change of Control of a **Member**, not the Company. A sale of substantially all assets of a Member is not expressly a Change-of-Control trigger unless it changes management or policy control or forms part of a triggering series. A merger or business combination involving the Company, and a sale of all or substantially all Company assets, are instead Reserved Matters under **Sections 6.3(e) and 6.3(g)**.</w:t>
      </w:r>
    </w:p>
    <w:p>
      <w:pPr>
        <w:pStyle w:val="Heading3"/>
      </w:pPr>
      <w:r>
        <w:rPr>
          <w:b/>
          <w:sz w:val="21"/>
          <w:szCs w:val="21"/>
        </w:rPr>
        <w:t xml:space="preserve">Stock, upstream, merger, asset-sale, and management-control treatment</w:t>
      </w:r>
    </w:p>
    <w:p>
      <w:pPr>
        <w:spacing w:after="120" w:line="276" w:lineRule="auto"/>
      </w:pPr>
      <w:r>
        <w:rPr>
          <w:sz w:val="20"/>
          <w:szCs w:val="20"/>
        </w:rPr>
        <w:t xml:space="preserve">| Transaction structure | Treatment |</w:t>
      </w:r>
    </w:p>
    <w:p>
      <w:pPr>
        <w:spacing w:after="120" w:line="276" w:lineRule="auto"/>
      </w:pPr>
      <w:r>
        <w:rPr>
          <w:sz w:val="20"/>
          <w:szCs w:val="20"/>
        </w:rPr>
        <w:t xml:space="preserve">|---|---|</w:t>
      </w:r>
    </w:p>
    <w:p>
      <w:pPr>
        <w:spacing w:after="120" w:line="276" w:lineRule="auto"/>
      </w:pPr>
      <w:r>
        <w:rPr>
          <w:sz w:val="20"/>
          <w:szCs w:val="20"/>
        </w:rPr>
        <w:t xml:space="preserve">| Acquisition of **50% or more** of Apex or Kenji voting equity | Express Change of Control under Article I; no Article XI consent solely on that basis, but notice and buy-out rights apply. |</w:t>
      </w:r>
    </w:p>
    <w:p>
      <w:pPr>
        <w:spacing w:after="120" w:line="276" w:lineRule="auto"/>
      </w:pPr>
      <w:r>
        <w:rPr>
          <w:sz w:val="20"/>
          <w:szCs w:val="20"/>
        </w:rPr>
        <w:t xml:space="preserve">| Indirect or upstream acquisition | Expressly covered because the definition includes acquisition “directly or indirectly.” |</w:t>
      </w:r>
    </w:p>
    <w:p>
      <w:pPr>
        <w:spacing w:after="120" w:line="276" w:lineRule="auto"/>
      </w:pPr>
      <w:r>
        <w:rPr>
          <w:sz w:val="20"/>
          <w:szCs w:val="20"/>
        </w:rPr>
        <w:t xml:space="preserve">| Merger, consolidation, recapitalization, or reorganization of a Member | Covered if it produces the specified ownership or management-control change. |</w:t>
      </w:r>
    </w:p>
    <w:p>
      <w:pPr>
        <w:spacing w:after="120" w:line="276" w:lineRule="auto"/>
      </w:pPr>
      <w:r>
        <w:rPr>
          <w:sz w:val="20"/>
          <w:szCs w:val="20"/>
        </w:rPr>
        <w:t xml:space="preserve">| Less-than-50% acquisition changing management or policy control | Potentially covered independently of the 50% threshold. |</w:t>
      </w:r>
    </w:p>
    <w:p>
      <w:pPr>
        <w:spacing w:after="120" w:line="276" w:lineRule="auto"/>
      </w:pPr>
      <w:r>
        <w:rPr>
          <w:sz w:val="20"/>
          <w:szCs w:val="20"/>
        </w:rPr>
        <w:t xml:space="preserve">| Acquisition by an existing Affiliate as of the Effective Date | Excluded by the Article I exception. |</w:t>
      </w:r>
    </w:p>
    <w:p>
      <w:pPr>
        <w:spacing w:after="120" w:line="276" w:lineRule="auto"/>
      </w:pPr>
      <w:r>
        <w:rPr>
          <w:sz w:val="20"/>
          <w:szCs w:val="20"/>
        </w:rPr>
        <w:t xml:space="preserve">| Acquisition by a new Affiliate or acquisition vehicle | Not expressly excluded and may trigger Article XII. |</w:t>
      </w:r>
    </w:p>
    <w:p>
      <w:pPr>
        <w:spacing w:after="120" w:line="276" w:lineRule="auto"/>
      </w:pPr>
      <w:r>
        <w:rPr>
          <w:sz w:val="20"/>
          <w:szCs w:val="20"/>
        </w:rPr>
        <w:t xml:space="preserve">| Direct transfer of a Member’s JV Membership Interest | Governed by Article XI, including consent, Affiliate-transfer, ROFR, and potentially tag-along provisions. |</w:t>
      </w:r>
    </w:p>
    <w:p>
      <w:pPr>
        <w:spacing w:after="120" w:line="276" w:lineRule="auto"/>
      </w:pPr>
      <w:r>
        <w:rPr>
          <w:sz w:val="20"/>
          <w:szCs w:val="20"/>
        </w:rPr>
        <w:t xml:space="preserve">| Sale of substantially all assets of a Member | Not expressly covered unless it changes management/policy control or is part of a triggering series. |</w:t>
      </w:r>
    </w:p>
    <w:p>
      <w:pPr>
        <w:spacing w:after="120" w:line="276" w:lineRule="auto"/>
      </w:pPr>
      <w:r>
        <w:rPr>
          <w:sz w:val="20"/>
          <w:szCs w:val="20"/>
        </w:rPr>
        <w:t xml:space="preserve">| Sale of substantially all Company assets | Requires unanimous Manager approval under **Section 6.3(e)**. |</w:t>
      </w:r>
    </w:p>
    <w:p>
      <w:pPr>
        <w:spacing w:after="120" w:line="276" w:lineRule="auto"/>
      </w:pPr>
      <w:r>
        <w:rPr>
          <w:sz w:val="20"/>
          <w:szCs w:val="20"/>
        </w:rPr>
        <w:t xml:space="preserve">| Company merger or business combination | Requires unanimous Manager approval under **Section 6.3(g)**. |</w:t>
      </w:r>
    </w:p>
    <w:p>
      <w:pPr>
        <w:spacing w:after="120" w:line="276" w:lineRule="auto"/>
      </w:pPr>
      <w:r>
        <w:rPr>
          <w:sz w:val="20"/>
          <w:szCs w:val="20"/>
        </w:rPr>
        <w:t xml:space="preserve">Under **Section 12.2**, a Member Change of Control is not deemed a Transfer of that Member’s Membership Interest for Article XI purposes. Therefore, a qualifying stock acquisition, upstream acquisition, or similar Change of Control does not require the non-affected Member’s consent under **Section 11.1**, but remains subject to the Section 12.3 buy-out option and Article XII obligations.</w:t>
      </w:r>
    </w:p>
    <w:p>
      <w:pPr>
        <w:pStyle w:val="Heading3"/>
      </w:pPr>
      <w:r>
        <w:rPr>
          <w:b/>
          <w:sz w:val="21"/>
          <w:szCs w:val="21"/>
        </w:rPr>
        <w:t xml:space="preserve">Notice requirements and deadlines</w:t>
      </w:r>
    </w:p>
    <w:p>
      <w:pPr>
        <w:spacing w:after="120" w:line="276" w:lineRule="auto"/>
      </w:pPr>
      <w:r>
        <w:rPr>
          <w:sz w:val="20"/>
          <w:szCs w:val="20"/>
        </w:rPr>
        <w:t xml:space="preserve">Under **Section 12.1**, the affected Member must provide written notice:</w:t>
      </w:r>
    </w:p>
    <w:p>
      <w:pPr>
        <w:ind w:left="360" w:hanging="180"/>
      </w:pPr>
      <w:r>
        <w:rPr>
          <w:sz w:val="20"/>
          <w:szCs w:val="20"/>
        </w:rPr>
        <w:t xml:space="preserve">1. **Promptly, and in any event within 10 business days after execution** of any definitive agreement relating to the Change of Control; and</w:t>
      </w:r>
    </w:p>
    <w:p>
      <w:pPr>
        <w:ind w:left="360" w:hanging="180"/>
      </w:pPr>
      <w:r>
        <w:rPr>
          <w:sz w:val="20"/>
          <w:szCs w:val="20"/>
        </w:rPr>
        <w:t xml:space="preserve">2. **Again within five business days after consummation** of the Change of Control.</w:t>
      </w:r>
    </w:p>
    <w:p>
      <w:pPr>
        <w:spacing w:after="120" w:line="276" w:lineRule="auto"/>
      </w:pPr>
      <w:r>
        <w:rPr>
          <w:sz w:val="20"/>
          <w:szCs w:val="20"/>
        </w:rPr>
        <w:t xml:space="preserve">The notice must describe the transaction in reasonable detail, identify the acquiring Person or Persons, and state the expected or actual consummation date. Notices must comply with **Section 17.1** and be delivered by hand, nationally recognized overnight courier, or certified mail, return receipt requested, to the stated notice addresses unless changed by written notice.</w:t>
      </w:r>
    </w:p>
    <w:p>
      <w:pPr>
        <w:spacing w:after="120" w:line="276" w:lineRule="auto"/>
      </w:pPr>
      <w:r>
        <w:rPr>
          <w:sz w:val="20"/>
          <w:szCs w:val="20"/>
        </w:rPr>
        <w:t xml:space="preserve">The Agreement does not state that failure to give notice eliminates the buy-out right. The non-affected Member could therefore contend that its 90-day exercise period does not begin until proper consummation notice is received.</w:t>
      </w:r>
    </w:p>
    <w:p>
      <w:pPr>
        <w:pStyle w:val="Heading3"/>
      </w:pPr>
      <w:r>
        <w:rPr>
          <w:b/>
          <w:sz w:val="21"/>
          <w:szCs w:val="21"/>
        </w:rPr>
        <w:t xml:space="preserve">Buy-out option and pricing</w:t>
      </w:r>
    </w:p>
    <w:p>
      <w:pPr>
        <w:spacing w:after="120" w:line="276" w:lineRule="auto"/>
      </w:pPr>
      <w:r>
        <w:rPr>
          <w:sz w:val="20"/>
          <w:szCs w:val="20"/>
        </w:rPr>
        <w:t xml:space="preserve">Under **Section 12.3(a)**, the non-affected Member has an option to purchase **“all (but not less than all)”** of the affected Member’s Membership Interest. The option is exercisable by written notice within **90 days following receipt** of the consummation notice under Section 12.1. It is a unilateral call right for the non-affected Member, not a put right for the affected Member.</w:t>
      </w:r>
    </w:p>
    <w:p>
      <w:pPr>
        <w:spacing w:after="120" w:line="276" w:lineRule="auto"/>
      </w:pPr>
      <w:r>
        <w:rPr>
          <w:sz w:val="20"/>
          <w:szCs w:val="20"/>
        </w:rPr>
        <w:t xml:space="preserve">The option is unavailable only if both of the following successor conditions are satisfied under **Section 12.3(b)**:</w:t>
      </w:r>
    </w:p>
    <w:p>
      <w:pPr>
        <w:ind w:left="360" w:hanging="180"/>
      </w:pPr>
      <w:r>
        <w:rPr>
          <w:sz w:val="20"/>
          <w:szCs w:val="20"/>
        </w:rPr>
        <w:t xml:space="preserve">1. Within **30 days after consummation**, the Successor Entity provides a written commitment to retain the affected Member’s existing senior management team, including at least the **chief executive officer and chief technology officer**, in their respective positions for at least **18 months** after consummation; and</w:t>
      </w:r>
    </w:p>
    <w:p>
      <w:pPr>
        <w:ind w:left="360" w:hanging="180"/>
      </w:pPr>
      <w:r>
        <w:rPr>
          <w:sz w:val="20"/>
          <w:szCs w:val="20"/>
        </w:rPr>
        <w:t xml:space="preserve">2. The Successor Entity’s consolidated annual revenue from fluid-control products exceeds **$500,000,000**, based on its most recent audited annual financial statements as of consummation. Fluid-control products include, without limitation, valves, actuators, flow meters, and related automation systems.</w:t>
      </w:r>
    </w:p>
    <w:p>
      <w:pPr>
        <w:spacing w:after="120" w:line="276" w:lineRule="auto"/>
      </w:pPr>
      <w:r>
        <w:rPr>
          <w:sz w:val="20"/>
          <w:szCs w:val="20"/>
        </w:rPr>
        <w:t xml:space="preserve">Both conditions must be met. The revenue test is not a total-revenue test, and the Agreement does not address pro forma revenue, newly acquired businesses, private acquisition vehicles, accounting methodology, currency conversion, or disputes over the scope of fluid-control products.</w:t>
      </w:r>
    </w:p>
    <w:p>
      <w:pPr>
        <w:spacing w:after="120" w:line="276" w:lineRule="auto"/>
      </w:pPr>
      <w:r>
        <w:rPr>
          <w:sz w:val="20"/>
          <w:szCs w:val="20"/>
        </w:rPr>
        <w:t xml:space="preserve">Under **Section 12.3(c)**, the purchase price is:</w:t>
      </w:r>
    </w:p>
    <w:p>
      <w:pPr>
        <w:ind w:left="720"/>
      </w:pPr>
      <w:r>
        <w:rPr>
          <w:i/>
          <w:sz w:val="20"/>
          <w:szCs w:val="20"/>
        </w:rPr>
        <w:t xml:space="preserve">**4.5x** the Company’s trailing twelve-month EBITDA as of the last day of the Company’s most recently completed Fiscal Year preceding the date of the exercise notice.</w:t>
      </w:r>
    </w:p>
    <w:p>
      <w:pPr>
        <w:spacing w:after="120" w:line="276" w:lineRule="auto"/>
      </w:pPr>
      <w:r>
        <w:rPr>
          <w:sz w:val="20"/>
          <w:szCs w:val="20"/>
        </w:rPr>
        <w:t xml:space="preserve">The price applies to the affected Member’s **entire Membership Interest**, regardless of its percentage ownership. The formula does not expressly provide for adjustments for debt, cash, working capital, minority or control premiums, unrecorded liabilities, taxes, capital expenditures, or contributed intellectual property, and it may rely on a stale fiscal-year EBITDA figure. Based on the recitals, FY2024 EBITDA is approximately **$5.1 million**, implying a preliminary 4.5x amount of approximately **$22.95 million**, although the applicable period for a future exercise depends on the exercise date and the operative executed Agreement.</w:t>
      </w:r>
    </w:p>
    <w:p>
      <w:pPr>
        <w:spacing w:after="120" w:line="276" w:lineRule="auto"/>
      </w:pPr>
      <w:r>
        <w:rPr>
          <w:sz w:val="20"/>
          <w:szCs w:val="20"/>
        </w:rPr>
        <w:t xml:space="preserve">If EBITDA or the Buy-Out Price is disputed, **Section 12.3(e)** requires referral to an independent nationally recognized accounting firm, mutually selected or selected by the AAA if the Members do not agree within **15 days**. The determination is final and binding, with costs shared equally. This is an accounting determination mechanism rather than a broader fair-value appraisal.</w:t>
      </w:r>
    </w:p>
    <w:p>
      <w:pPr>
        <w:spacing w:after="120" w:line="276" w:lineRule="auto"/>
      </w:pPr>
      <w:r>
        <w:rPr>
          <w:sz w:val="20"/>
          <w:szCs w:val="20"/>
        </w:rPr>
        <w:t xml:space="preserve">Closing must occur within **60 days after the exercise notice** under **Section 12.3(d)**. The affected Member must transfer its entire interest and provide customary title assurances that the interest is free of liens, claims, and encumbrances other than those arising under the Agreement; the non-affected Member must pay by immediately available wire funds.</w:t>
      </w:r>
    </w:p>
    <w:p>
      <w:pPr>
        <w:pStyle w:val="Heading3"/>
      </w:pPr>
      <w:r>
        <w:rPr>
          <w:b/>
          <w:sz w:val="21"/>
          <w:szCs w:val="21"/>
        </w:rPr>
        <w:t xml:space="preserve">Successor obligations, termination, run-off, and tail</w:t>
      </w:r>
    </w:p>
    <w:p>
      <w:pPr>
        <w:spacing w:after="120" w:line="276" w:lineRule="auto"/>
      </w:pPr>
      <w:r>
        <w:rPr>
          <w:sz w:val="20"/>
          <w:szCs w:val="20"/>
        </w:rPr>
        <w:t xml:space="preserve">Under **Section 12.4**, regardless of whether the buy-out option is exercised:</w:t>
      </w:r>
    </w:p>
    <w:p>
      <w:pPr>
        <w:ind w:left="360" w:hanging="180"/>
      </w:pPr>
      <w:r>
        <w:rPr>
          <w:sz w:val="20"/>
          <w:szCs w:val="20"/>
        </w:rPr>
        <w:t xml:space="preserve">• the affected Member’s obligations remain in force and bind the Successor Entity;</w:t>
      </w:r>
    </w:p>
    <w:p>
      <w:pPr>
        <w:ind w:left="360" w:hanging="180"/>
      </w:pPr>
      <w:r>
        <w:rPr>
          <w:sz w:val="20"/>
          <w:szCs w:val="20"/>
        </w:rPr>
        <w:t xml:space="preserve">• the Successor Entity must execute a joinder within **30 days after consummation**, in a form reasonably satisfactory to the non-affected Member; and</w:t>
      </w:r>
    </w:p>
    <w:p>
      <w:pPr>
        <w:ind w:left="360" w:hanging="180"/>
      </w:pPr>
      <w:r>
        <w:rPr>
          <w:sz w:val="20"/>
          <w:szCs w:val="20"/>
        </w:rPr>
        <w:t xml:space="preserve">• the affected Member must use commercially reasonable efforts to ensure the Successor Entity cooperates with the Company and the non-affected Member.</w:t>
      </w:r>
    </w:p>
    <w:p>
      <w:pPr>
        <w:spacing w:after="120" w:line="276" w:lineRule="auto"/>
      </w:pPr>
      <w:r>
        <w:rPr>
          <w:sz w:val="20"/>
          <w:szCs w:val="20"/>
        </w:rPr>
        <w:t xml:space="preserve">The Agreement contains no express Change-of-Control termination right, general default termination right, acceleration right, run-off period, tail payment, drag-along right, mandatory sale process, or general put right. A Deadlock may lead to dissolution only if the Members unanimously elect dissolution as the remedy under **Section 13.1(d)**.</w:t>
      </w:r>
    </w:p>
    <w:p>
      <w:pPr>
        <w:pStyle w:val="Heading3"/>
      </w:pPr>
      <w:r>
        <w:rPr>
          <w:b/>
          <w:sz w:val="21"/>
          <w:szCs w:val="21"/>
        </w:rPr>
        <w:t xml:space="preserve">Assignment and transfer restrictions</w:t>
      </w:r>
    </w:p>
    <w:p>
      <w:pPr>
        <w:spacing w:after="120" w:line="276" w:lineRule="auto"/>
      </w:pPr>
      <w:r>
        <w:rPr>
          <w:sz w:val="20"/>
          <w:szCs w:val="20"/>
        </w:rPr>
        <w:t xml:space="preserve">Under **Section 11.1**, no Member may Transfer all or any portion of its Membership Interest without the other Member’s prior written consent, which may be withheld in the other Member’s sole and absolute discretion, subject to Sections 11.2 and 11.3. “Transfer” is broad and includes a direct or indirect sale, assignment, pledge, encumbrance, hypothecation, gift, or other voluntary or involuntary disposition.</w:t>
      </w:r>
    </w:p>
    <w:p>
      <w:pPr>
        <w:spacing w:after="120" w:line="276" w:lineRule="auto"/>
      </w:pPr>
      <w:r>
        <w:rPr>
          <w:sz w:val="20"/>
          <w:szCs w:val="20"/>
        </w:rPr>
        <w:t xml:space="preserve">Under **Section 11.2**, a Member may transfer all or part of its interest to a **wholly owned Affiliate** without consent if:</w:t>
      </w:r>
    </w:p>
    <w:p>
      <w:pPr>
        <w:ind w:left="360" w:hanging="180"/>
      </w:pPr>
      <w:r>
        <w:rPr>
          <w:sz w:val="20"/>
          <w:szCs w:val="20"/>
        </w:rPr>
        <w:t xml:space="preserve">• the transferring Member unconditionally guarantees the transferee’s obligations for as long as the transferee holds the interest; and</w:t>
      </w:r>
    </w:p>
    <w:p>
      <w:pPr>
        <w:ind w:left="360" w:hanging="180"/>
      </w:pPr>
      <w:r>
        <w:rPr>
          <w:sz w:val="20"/>
          <w:szCs w:val="20"/>
        </w:rPr>
        <w:t xml:space="preserve">• the transferee signs a written agreement agreeing to be bound by the Agreement.</w:t>
      </w:r>
    </w:p>
    <w:p>
      <w:pPr>
        <w:spacing w:after="120" w:line="276" w:lineRule="auto"/>
      </w:pPr>
      <w:r>
        <w:rPr>
          <w:sz w:val="20"/>
          <w:szCs w:val="20"/>
        </w:rPr>
        <w:t xml:space="preserve">Under **Section 11.3**, other proposed transfers are subject to a right of first refusal. Notice must state the material terms, proposed transferee, and purchase price. The non-transferring Member has **60 days** to elect to purchase on the same terms. If it does not exercise, the transfer may proceed only on terms no more favorable than those notified.</w:t>
      </w:r>
    </w:p>
    <w:p>
      <w:pPr>
        <w:spacing w:after="120" w:line="276" w:lineRule="auto"/>
      </w:pPr>
      <w:r>
        <w:rPr>
          <w:sz w:val="20"/>
          <w:szCs w:val="20"/>
        </w:rPr>
        <w:t xml:space="preserve">Under **Section 11.4**, if Apex proposes to transfer a **majority of its Membership Interest** to a third party other than an Affiliate permitted under Section 11.2, Kenji may require the third-party purchaser to purchase Kenji’s interest on the same terms. Apex must give at least **30 days’ prior written notice**. The “pro rata” wording creates some ambiguity as to whether Kenji may require a sale of all of its interest or only a proportional amount.</w:t>
      </w:r>
    </w:p>
    <w:p>
      <w:pPr>
        <w:pStyle w:val="Heading3"/>
      </w:pPr>
      <w:r>
        <w:rPr>
          <w:b/>
          <w:sz w:val="21"/>
          <w:szCs w:val="21"/>
        </w:rPr>
        <w:t xml:space="preserve">Other material transaction risks</w:t>
      </w:r>
    </w:p>
    <w:p>
      <w:pPr>
        <w:ind w:left="360" w:hanging="180"/>
      </w:pPr>
      <w:r>
        <w:rPr>
          <w:sz w:val="20"/>
          <w:szCs w:val="20"/>
        </w:rPr>
        <w:t xml:space="preserve">• **Governance vetoes:** Reserved Matters requiring unanimous approval of all five Managers include amendments, admission of a new Member, indebtedness over **$1 million** in a fiscal year, contracts over **$2 million**, sale of all or substantially all Company assets, dissolution, Company merger or other business combination, and annual capital expenditures over **$5 million**. **Article VI.**</w:t>
      </w:r>
    </w:p>
    <w:p>
      <w:pPr>
        <w:ind w:left="360" w:hanging="180"/>
      </w:pPr>
      <w:r>
        <w:rPr>
          <w:sz w:val="20"/>
          <w:szCs w:val="20"/>
        </w:rPr>
        <w:t xml:space="preserve">• **Amendments and waivers:** Amendments require a written instrument executed by both Members under **Section 17.4**.</w:t>
      </w:r>
    </w:p>
    <w:p>
      <w:pPr>
        <w:ind w:left="360" w:hanging="180"/>
      </w:pPr>
      <w:r>
        <w:rPr>
          <w:sz w:val="20"/>
          <w:szCs w:val="20"/>
        </w:rPr>
        <w:t xml:space="preserve">• **Technology and distribution licenses:** Exhibit B states that Company license rights terminate upon dissolution or termination of the Agreement, whichever occurs first. The Agreement does not expressly address survival or assignability of those rights after a Member Change of Control or buy-out. The separate Technology License Agreement and Distribution Access Agreement must be reviewed.</w:t>
      </w:r>
    </w:p>
    <w:p>
      <w:pPr>
        <w:ind w:left="360" w:hanging="180"/>
      </w:pPr>
      <w:r>
        <w:rPr>
          <w:sz w:val="20"/>
          <w:szCs w:val="20"/>
        </w:rPr>
        <w:t xml:space="preserve">• **Exclusivity:** Under **Section 7.2**, Members and their Affiliates may not, during the Agreement’s term and within the Asia-Pacific region, develop, manufacture, or sell products substantially similar to Company products except through the Company without the other Member’s consent.</w:t>
      </w:r>
    </w:p>
    <w:p>
      <w:pPr>
        <w:ind w:left="360" w:hanging="180"/>
      </w:pPr>
      <w:r>
        <w:rPr>
          <w:sz w:val="20"/>
          <w:szCs w:val="20"/>
        </w:rPr>
        <w:t xml:space="preserve">• **Other contractual consents:** A Change of Control may trigger third-party consent, default, or termination rights and may implicate the representations in **Section 10.1(c)**.</w:t>
      </w:r>
    </w:p>
    <w:p>
      <w:pPr>
        <w:ind w:left="360" w:hanging="180"/>
      </w:pPr>
      <w:r>
        <w:rPr>
          <w:sz w:val="20"/>
          <w:szCs w:val="20"/>
        </w:rPr>
        <w:t xml:space="preserve">• **Indemnification:** Breach of notice, transfer, joinder, or other obligations may create indemnification exposure under **Section 16.2**.</w:t>
      </w:r>
    </w:p>
    <w:p>
      <w:pPr>
        <w:ind w:left="360" w:hanging="180"/>
      </w:pPr>
      <w:r>
        <w:rPr>
          <w:sz w:val="20"/>
          <w:szCs w:val="20"/>
        </w:rPr>
        <w:t xml:space="preserve">• **Confidentiality:** Article XV confidentiality obligations survive termination or expiration for **five years**. There is no general transaction-disclosure safe harbor for sharing JV information with buyers, financing sources, or advisers.</w:t>
      </w:r>
    </w:p>
    <w:p>
      <w:pPr>
        <w:ind w:left="360" w:hanging="180"/>
      </w:pPr>
      <w:r>
        <w:rPr>
          <w:sz w:val="20"/>
          <w:szCs w:val="20"/>
        </w:rPr>
        <w:t xml:space="preserve">• **Dispute process:** Article XIV provides for **30 days** of Board escalation, an additional **30 days** of CEO-level resolution, AAA mediation in Cincinnati, and then binding three-arbitrator AAA arbitration in Cincinnati.</w:t>
      </w:r>
    </w:p>
    <w:p>
      <w:pPr>
        <w:ind w:left="360" w:hanging="180"/>
      </w:pPr>
      <w:r>
        <w:rPr>
          <w:sz w:val="20"/>
          <w:szCs w:val="20"/>
        </w:rPr>
        <w:t xml:space="preserve">• **Document integrity:** The Agreement is dated April 3, 2017, but its recitals reportedly include FY2024 revenue and EBITDA information. The executed version, amendments, side letters, waivers, and Member resolutions should be verified.</w:t>
      </w:r>
    </w:p>
    <w:p>
      <w:pPr>
        <w:pStyle w:val="Heading3"/>
      </w:pPr>
      <w:r>
        <w:rPr>
          <w:b/>
          <w:sz w:val="21"/>
          <w:szCs w:val="21"/>
        </w:rPr>
        <w:t xml:space="preserve">Risk rating: High</w:t>
      </w:r>
    </w:p>
    <w:p>
      <w:pPr>
        <w:spacing w:after="120" w:line="276" w:lineRule="auto"/>
      </w:pPr>
      <w:r>
        <w:rPr>
          <w:sz w:val="20"/>
          <w:szCs w:val="20"/>
        </w:rPr>
        <w:t xml:space="preserve">The transaction risk is **High** because the Agreement combines a broad direct and indirect Change-of-Control definition, an independent management-control trigger, a unilateral all-or-nothing buy-out right, a potentially unfavorable and uncertain **4.5x EBITDA** price, short notice periods, a difficult successor carve-out, mandatory joinder, significant governance vetoes, and uncertain continuity of critical technology and distribution rights.</w:t>
      </w:r>
    </w:p>
    <w:p>
      <w:pPr>
        <w:pStyle w:val="Heading3"/>
      </w:pPr>
      <w:r>
        <w:rPr>
          <w:b/>
          <w:sz w:val="21"/>
          <w:szCs w:val="21"/>
        </w:rPr>
        <w:t xml:space="preserve">Recommended diligence and closing actions</w:t>
      </w:r>
    </w:p>
    <w:p>
      <w:pPr>
        <w:ind w:left="360" w:hanging="180"/>
      </w:pPr>
      <w:r>
        <w:rPr>
          <w:sz w:val="20"/>
          <w:szCs w:val="20"/>
        </w:rPr>
        <w:t xml:space="preserve">1. Confirm the transaction structure, ownership chain, voting rights, management-control arrangements, and whether any transaction series triggers Article XII.</w:t>
      </w:r>
    </w:p>
    <w:p>
      <w:pPr>
        <w:ind w:left="360" w:hanging="180"/>
      </w:pPr>
      <w:r>
        <w:rPr>
          <w:sz w:val="20"/>
          <w:szCs w:val="20"/>
        </w:rPr>
        <w:t xml:space="preserve">2. Identify all Affiliates existing as of **April 3, 2017**, and determine whether the buyer or acquisition vehicle qualifies for the Article I exception.</w:t>
      </w:r>
    </w:p>
    <w:p>
      <w:pPr>
        <w:ind w:left="360" w:hanging="180"/>
      </w:pPr>
      <w:r>
        <w:rPr>
          <w:sz w:val="20"/>
          <w:szCs w:val="20"/>
        </w:rPr>
        <w:t xml:space="preserve">3. Review the executed Agreement, amendments, side letters, prior consents, waivers, and Member and Manager resolutions.</w:t>
      </w:r>
    </w:p>
    <w:p>
      <w:pPr>
        <w:ind w:left="360" w:hanging="180"/>
      </w:pPr>
      <w:r>
        <w:rPr>
          <w:sz w:val="20"/>
          <w:szCs w:val="20"/>
        </w:rPr>
        <w:t xml:space="preserve">4. Obtain and review the Technology License Agreement, Distribution Access Agreement, IP assignments, and other Exhibit B ancillary agreements.</w:t>
      </w:r>
    </w:p>
    <w:p>
      <w:pPr>
        <w:ind w:left="360" w:hanging="180"/>
      </w:pPr>
      <w:r>
        <w:rPr>
          <w:sz w:val="20"/>
          <w:szCs w:val="20"/>
        </w:rPr>
        <w:t xml:space="preserve">5. Model the Buy-Out Price using the applicable 4.5x formula and multiple possible exercise dates; verify EBITDA methodology, the affected interest percentage, and absence or treatment of debt, cash, and other adjustments.</w:t>
      </w:r>
    </w:p>
    <w:p>
      <w:pPr>
        <w:ind w:left="360" w:hanging="180"/>
      </w:pPr>
      <w:r>
        <w:rPr>
          <w:sz w:val="20"/>
          <w:szCs w:val="20"/>
        </w:rPr>
        <w:t xml:space="preserve">6. Determine whether the Successor Entity can satisfy both the **$500 million** fluid-control-product revenue test and the **18-month** CEO/CTO retention commitment, and prepare the commitment within **30 days after closing** if relying on the carve-out.</w:t>
      </w:r>
    </w:p>
    <w:p>
      <w:pPr>
        <w:ind w:left="360" w:hanging="180"/>
      </w:pPr>
      <w:r>
        <w:rPr>
          <w:sz w:val="20"/>
          <w:szCs w:val="20"/>
        </w:rPr>
        <w:t xml:space="preserve">7. Review buyer and Affiliate businesses for conflicts with the Section 7.2 Asia-Pacific exclusivity covenant and identify third-party change-of-control or anti-assignment provisions.</w:t>
      </w:r>
    </w:p>
    <w:p>
      <w:pPr>
        <w:ind w:left="360" w:hanging="180"/>
      </w:pPr>
      <w:r>
        <w:rPr>
          <w:sz w:val="20"/>
          <w:szCs w:val="20"/>
        </w:rPr>
        <w:t xml:space="preserve">8. Deliver the two required notices: within **10 business days after signing** the definitive agreement and within **five business days after consummation**, using Section 17.1 procedures.</w:t>
      </w:r>
    </w:p>
    <w:p>
      <w:pPr>
        <w:ind w:left="360" w:hanging="180"/>
      </w:pPr>
      <w:r>
        <w:rPr>
          <w:sz w:val="20"/>
          <w:szCs w:val="20"/>
        </w:rPr>
        <w:t xml:space="preserve">9. Seek an advance written waiver or acknowledgment from the non-affected Member addressing the buy-out option, Article XI consent, successor status, joinder, and continuation of technology and distribution rights.</w:t>
      </w:r>
    </w:p>
    <w:p>
      <w:pPr>
        <w:ind w:left="360" w:hanging="180"/>
      </w:pPr>
      <w:r>
        <w:rPr>
          <w:sz w:val="20"/>
          <w:szCs w:val="20"/>
        </w:rPr>
        <w:t xml:space="preserve">10. Prepare and obtain advance approval of the Successor Entity joinder, including obligations, governance, confidentiality, exclusivity, indemnity, and ancillary agreements.</w:t>
      </w:r>
    </w:p>
    <w:p>
      <w:pPr>
        <w:ind w:left="360" w:hanging="180"/>
      </w:pPr>
      <w:r>
        <w:rPr>
          <w:sz w:val="20"/>
          <w:szCs w:val="20"/>
        </w:rPr>
        <w:t xml:space="preserve">11. Amend or confirm the license arrangements so that a Member Change of Control or buy-out does not terminate critical rights.</w:t>
      </w:r>
    </w:p>
    <w:p>
      <w:pPr>
        <w:ind w:left="360" w:hanging="180"/>
      </w:pPr>
      <w:r>
        <w:rPr>
          <w:sz w:val="20"/>
          <w:szCs w:val="20"/>
        </w:rPr>
        <w:t xml:space="preserve">12. Obtain unanimous Manager or Member approvals if the transaction involves a Company merger, admission of a new Member, amendment, or sale of substantially all Company assets.</w:t>
      </w:r>
    </w:p>
    <w:p>
      <w:pPr>
        <w:ind w:left="360" w:hanging="180"/>
      </w:pPr>
      <w:r>
        <w:rPr>
          <w:sz w:val="20"/>
          <w:szCs w:val="20"/>
        </w:rPr>
        <w:t xml:space="preserve">13. Calendar the **90-day** buy-out exercise period, the **60-day** buy-out closing period, the **15-day** accounting-firm selection period, and all 30-day and 18-month successor requirements, and retain documentary evidence of compliance.</w:t>
      </w:r>
    </w:p>
    <w:p>
      <w:pPr>
        <w:pStyle w:val="Heading1"/>
      </w:pPr>
      <w:r>
        <w:rPr>
          <w:b/>
          <w:sz w:val="28"/>
          <w:szCs w:val="28"/>
        </w:rPr>
        <w:t xml:space="preserve">Summit Credit Agreement</w:t>
      </w:r>
    </w:p>
    <w:p>
      <w:r>
        <w:rPr>
          <w:i/>
          <w:sz w:val="18"/>
          <w:szCs w:val="18"/>
        </w:rPr>
        <w:t xml:space="preserve">Source file: credit-agreement-summit.docx.txt</w:t>
      </w:r>
    </w:p>
    <w:p>
      <w:pPr>
        <w:pStyle w:val="Heading2"/>
      </w:pPr>
      <w:r>
        <w:rPr>
          <w:b/>
          <w:sz w:val="24"/>
          <w:szCs w:val="24"/>
        </w:rPr>
        <w:t xml:space="preserve">Acquisition Change-of-Control Diligence Report</w:t>
      </w:r>
    </w:p>
    <w:p>
      <w:pPr>
        <w:pStyle w:val="Heading2"/>
      </w:pPr>
      <w:r>
        <w:rPr>
          <w:b/>
          <w:sz w:val="24"/>
          <w:szCs w:val="24"/>
        </w:rPr>
        <w:t xml:space="preserve">1. Facility, parties and credit context</w:t>
      </w:r>
    </w:p>
    <w:p>
      <w:pPr>
        <w:pStyle w:val="Heading3"/>
      </w:pPr>
      <w:r>
        <w:rPr>
          <w:b/>
          <w:sz w:val="21"/>
          <w:szCs w:val="21"/>
        </w:rPr>
        <w:t xml:space="preserve">Borrower</w:t>
      </w:r>
    </w:p>
    <w:p>
      <w:pPr>
        <w:ind w:left="360" w:hanging="180"/>
      </w:pPr>
      <w:r>
        <w:rPr>
          <w:sz w:val="20"/>
          <w:szCs w:val="20"/>
        </w:rPr>
        <w:t xml:space="preserve">• **Apex Industrial Technologies, Inc.**, a Delaware corporation, is the borrower.</w:t>
      </w:r>
    </w:p>
    <w:p>
      <w:pPr>
        <w:ind w:left="360" w:hanging="180"/>
      </w:pPr>
      <w:r>
        <w:rPr>
          <w:sz w:val="20"/>
          <w:szCs w:val="20"/>
        </w:rPr>
        <w:t xml:space="preserve">• Preamble; Definitions, **§1.01 (“Borrower”)**.</w:t>
      </w:r>
    </w:p>
    <w:p>
      <w:pPr>
        <w:ind w:left="360" w:hanging="180"/>
      </w:pPr>
      <w:r>
        <w:rPr>
          <w:sz w:val="20"/>
          <w:szCs w:val="20"/>
        </w:rPr>
        <w:t xml:space="preserve">• Principal office: **4200 Crescent Ridge Parkway, Suite 600, Cincinnati, OH 45202**.</w:t>
      </w:r>
    </w:p>
    <w:p>
      <w:pPr>
        <w:ind w:left="360" w:hanging="180"/>
      </w:pPr>
      <w:r>
        <w:rPr>
          <w:sz w:val="20"/>
          <w:szCs w:val="20"/>
        </w:rPr>
        <w:t xml:space="preserve">• Business: design, engineering, manufacture and sale of precision fluid-control and industrial automation products.</w:t>
      </w:r>
    </w:p>
    <w:p>
      <w:pPr>
        <w:ind w:left="360" w:hanging="180"/>
      </w:pPr>
      <w:r>
        <w:rPr>
          <w:sz w:val="20"/>
          <w:szCs w:val="20"/>
        </w:rPr>
        <w:t xml:space="preserve">• The agreement states approximately **$187.4 million TTM revenue** and **$34.6 million TTM Consolidated EBITDA**.</w:t>
      </w:r>
    </w:p>
    <w:p>
      <w:pPr>
        <w:pStyle w:val="Heading3"/>
      </w:pPr>
      <w:r>
        <w:rPr>
          <w:b/>
          <w:sz w:val="21"/>
          <w:szCs w:val="21"/>
        </w:rPr>
        <w:t xml:space="preserve">Administrative Agent and Lenders</w:t>
      </w:r>
    </w:p>
    <w:p>
      <w:pPr>
        <w:ind w:left="360" w:hanging="180"/>
      </w:pPr>
      <w:r>
        <w:rPr>
          <w:sz w:val="20"/>
          <w:szCs w:val="20"/>
        </w:rPr>
        <w:t xml:space="preserve">• **Summit National Bank, N.A.** is Administrative Agent and also a Lender.</w:t>
      </w:r>
    </w:p>
    <w:p>
      <w:pPr>
        <w:ind w:left="360" w:hanging="180"/>
      </w:pPr>
      <w:r>
        <w:rPr>
          <w:sz w:val="20"/>
          <w:szCs w:val="20"/>
        </w:rPr>
        <w:t xml:space="preserve">• Commitment: **$45,000,000**, representing **60.00%** of aggregate commitments.</w:t>
      </w:r>
    </w:p>
    <w:p>
      <w:pPr>
        <w:ind w:left="360" w:hanging="180"/>
      </w:pPr>
      <w:r>
        <w:rPr>
          <w:sz w:val="20"/>
          <w:szCs w:val="20"/>
        </w:rPr>
        <w:t xml:space="preserve">• **Ridgeline Commercial Credit Corp.** is a Lender.</w:t>
      </w:r>
    </w:p>
    <w:p>
      <w:pPr>
        <w:ind w:left="360" w:hanging="180"/>
      </w:pPr>
      <w:r>
        <w:rPr>
          <w:sz w:val="20"/>
          <w:szCs w:val="20"/>
        </w:rPr>
        <w:t xml:space="preserve">• Commitment: **$30,000,000**, representing **40.00%** of aggregate commitments.</w:t>
      </w:r>
    </w:p>
    <w:p>
      <w:pPr>
        <w:ind w:left="360" w:hanging="180"/>
      </w:pPr>
      <w:r>
        <w:rPr>
          <w:sz w:val="20"/>
          <w:szCs w:val="20"/>
        </w:rPr>
        <w:t xml:space="preserve">• Aggregate revolving facility: **$75,000,000**.</w:t>
      </w:r>
    </w:p>
    <w:p>
      <w:pPr>
        <w:ind w:left="360" w:hanging="180"/>
      </w:pPr>
      <w:r>
        <w:rPr>
          <w:sz w:val="20"/>
          <w:szCs w:val="20"/>
        </w:rPr>
        <w:t xml:space="preserve">• Preamble; **§2.01**; **Schedule 2.01**.</w:t>
      </w:r>
    </w:p>
    <w:p>
      <w:pPr>
        <w:ind w:left="360" w:hanging="180"/>
      </w:pPr>
      <w:r>
        <w:rPr>
          <w:sz w:val="20"/>
          <w:szCs w:val="20"/>
        </w:rPr>
        <w:t xml:space="preserve">• Outstanding Revolving Loans as of the Effective Date: **$42,500,000**.</w:t>
      </w:r>
    </w:p>
    <w:p>
      <w:pPr>
        <w:ind w:left="360" w:hanging="180"/>
      </w:pPr>
      <w:r>
        <w:rPr>
          <w:sz w:val="20"/>
          <w:szCs w:val="20"/>
        </w:rPr>
        <w:t xml:space="preserve">• **§2.01**; **§2.04**; **§2.09(d)**.</w:t>
      </w:r>
    </w:p>
    <w:p>
      <w:pPr>
        <w:ind w:left="360" w:hanging="180"/>
      </w:pPr>
      <w:r>
        <w:rPr>
          <w:sz w:val="20"/>
          <w:szCs w:val="20"/>
        </w:rPr>
        <w:t xml:space="preserve">• Effective Date: **September 22, 2022**.</w:t>
      </w:r>
    </w:p>
    <w:p>
      <w:pPr>
        <w:ind w:left="360" w:hanging="180"/>
      </w:pPr>
      <w:r>
        <w:rPr>
          <w:sz w:val="20"/>
          <w:szCs w:val="20"/>
        </w:rPr>
        <w:t xml:space="preserve">• Maturity Date: **September 22, 2027**.</w:t>
      </w:r>
    </w:p>
    <w:p>
      <w:pPr>
        <w:ind w:left="360" w:hanging="180"/>
      </w:pPr>
      <w:r>
        <w:rPr>
          <w:sz w:val="20"/>
          <w:szCs w:val="20"/>
        </w:rPr>
        <w:t xml:space="preserve">• **§1.01 (“Effective Date,” “Maturity Date”)**.</w:t>
      </w:r>
    </w:p>
    <w:p>
      <w:pPr>
        <w:ind w:left="360" w:hanging="180"/>
      </w:pPr>
      <w:r>
        <w:rPr>
          <w:sz w:val="20"/>
          <w:szCs w:val="20"/>
        </w:rPr>
        <w:t xml:space="preserve">• The facility is senior secured. The Loan Documents include a **Security Agreement dated as of the Effective Date** between the Borrower and the Administrative Agent.</w:t>
      </w:r>
    </w:p>
    <w:p>
      <w:pPr>
        <w:ind w:left="360" w:hanging="180"/>
      </w:pPr>
      <w:r>
        <w:rPr>
          <w:sz w:val="20"/>
          <w:szCs w:val="20"/>
        </w:rPr>
        <w:t xml:space="preserve">• Recitals; **§1.01 (“Loan Documents”)**; **§4.01(b)**.</w:t>
      </w:r>
    </w:p>
    <w:p>
      <w:pPr>
        <w:ind w:left="360" w:hanging="180"/>
      </w:pPr>
      <w:r>
        <w:rPr>
          <w:sz w:val="20"/>
          <w:szCs w:val="20"/>
        </w:rPr>
        <w:t xml:space="preserve">• The agreement identifies **no separate guarantor**. The Borrower is the obligor, and the Security Agreement is stated to be executed by the Borrower. The Event of Default provisions refer to the Borrower and its Subsidiaries, but do not identify any guarantor.</w:t>
      </w:r>
    </w:p>
    <w:p>
      <w:pPr>
        <w:ind w:left="360" w:hanging="180"/>
      </w:pPr>
      <w:r>
        <w:rPr>
          <w:sz w:val="20"/>
          <w:szCs w:val="20"/>
        </w:rPr>
        <w:t xml:space="preserve">• **§4.01(b)**; **§8.01**.</w:t>
      </w:r>
    </w:p>
    <w:p>
      <w:pPr>
        <w:pStyle w:val="Heading3"/>
      </w:pPr>
      <w:r>
        <w:rPr>
          <w:b/>
          <w:sz w:val="21"/>
          <w:szCs w:val="21"/>
        </w:rPr>
        <w:t xml:space="preserve">Lender voting</w:t>
      </w:r>
    </w:p>
    <w:p>
      <w:pPr>
        <w:ind w:left="360" w:hanging="180"/>
      </w:pPr>
      <w:r>
        <w:rPr>
          <w:sz w:val="20"/>
          <w:szCs w:val="20"/>
        </w:rPr>
        <w:t xml:space="preserve">• **Required Lenders** means Lenders holding more than **50%** of aggregate commitments, or, after commitments are terminated, more than **50%** of aggregate outstanding Revolving Loans.</w:t>
      </w:r>
    </w:p>
    <w:p>
      <w:pPr>
        <w:ind w:left="360" w:hanging="180"/>
      </w:pPr>
      <w:r>
        <w:rPr>
          <w:sz w:val="20"/>
          <w:szCs w:val="20"/>
        </w:rPr>
        <w:t xml:space="preserve">• **§1.01 (“Required Lenders”)**.</w:t>
      </w:r>
    </w:p>
    <w:p>
      <w:pPr>
        <w:ind w:left="360" w:hanging="180"/>
      </w:pPr>
      <w:r>
        <w:rPr>
          <w:sz w:val="20"/>
          <w:szCs w:val="20"/>
        </w:rPr>
        <w:t xml:space="preserve">• Based on the stated commitments, Summit alone holds **60%** and therefore exceeds the Required Lenders threshold.</w:t>
      </w:r>
    </w:p>
    <w:p>
      <w:pPr>
        <w:ind w:left="360" w:hanging="180"/>
      </w:pPr>
      <w:r>
        <w:rPr>
          <w:sz w:val="20"/>
          <w:szCs w:val="20"/>
        </w:rPr>
        <w:t xml:space="preserve">• However, amendments to the Change of Control provisions and certain related provisions require **the written consent of each Lender**, not merely Required Lenders.</w:t>
      </w:r>
    </w:p>
    <w:p>
      <w:pPr>
        <w:ind w:left="360" w:hanging="180"/>
      </w:pPr>
      <w:r>
        <w:rPr>
          <w:sz w:val="20"/>
          <w:szCs w:val="20"/>
        </w:rPr>
        <w:t xml:space="preserve">• **§10.02(e)**.</w:t>
      </w:r>
    </w:p>
    <w:p>
      <w:pPr>
        <w:spacing w:after="120" w:line="276" w:lineRule="auto"/>
      </w:pPr>
      <w:r>
        <w:rPr>
          <w:sz w:val="20"/>
          <w:szCs w:val="20"/>
        </w:rPr>
        <w:t xml:space="preserve">---</w:t>
      </w:r>
    </w:p>
    <w:p>
      <w:pPr>
        <w:pStyle w:val="Heading2"/>
      </w:pPr>
      <w:r>
        <w:rPr>
          <w:b/>
          <w:sz w:val="24"/>
          <w:szCs w:val="24"/>
        </w:rPr>
        <w:t xml:space="preserve">2. Express Change of Control definition</w:t>
      </w:r>
    </w:p>
    <w:p>
      <w:pPr>
        <w:pStyle w:val="Heading3"/>
      </w:pPr>
      <w:r>
        <w:rPr>
          <w:b/>
          <w:sz w:val="21"/>
          <w:szCs w:val="21"/>
        </w:rPr>
        <w:t xml:space="preserve">Section 1.01 — “Change of Control”</w:t>
      </w:r>
    </w:p>
    <w:p>
      <w:pPr>
        <w:spacing w:after="120" w:line="276" w:lineRule="auto"/>
      </w:pPr>
      <w:r>
        <w:rPr>
          <w:sz w:val="20"/>
          <w:szCs w:val="20"/>
        </w:rPr>
        <w:t xml:space="preserve">A **Change of Control** occurs upon either of the following:</w:t>
      </w:r>
    </w:p>
    <w:p>
      <w:pPr>
        <w:spacing w:after="120" w:line="276" w:lineRule="auto"/>
      </w:pPr>
      <w:r>
        <w:rPr>
          <w:sz w:val="20"/>
          <w:szCs w:val="20"/>
        </w:rPr>
        <w:t xml:space="preserve">#### A. Borrower-level ownership trigger</w:t>
      </w:r>
    </w:p>
    <w:p>
      <w:pPr>
        <w:spacing w:after="120" w:line="276" w:lineRule="auto"/>
      </w:pPr>
      <w:r>
        <w:rPr>
          <w:sz w:val="20"/>
          <w:szCs w:val="20"/>
        </w:rPr>
        <w:t xml:space="preserve">Any “person” or “group,” as those terms are used in Sections **13(d)** and **14(d)** of the Securities Exchange Act of 1934, acquires, directly or indirectly, beneficial ownership, within the meaning of SEC Rule **13d-3**, of **more than 50% of the outstanding Voting Stock of the Borrower**.</w:t>
      </w:r>
    </w:p>
    <w:p>
      <w:pPr>
        <w:ind w:left="360" w:hanging="180"/>
      </w:pPr>
      <w:r>
        <w:rPr>
          <w:sz w:val="20"/>
          <w:szCs w:val="20"/>
        </w:rPr>
        <w:t xml:space="preserve">• **§1.01 (“Change of Control”)(a)**.</w:t>
      </w:r>
    </w:p>
    <w:p>
      <w:pPr>
        <w:ind w:left="360" w:hanging="180"/>
      </w:pPr>
      <w:r>
        <w:rPr>
          <w:sz w:val="20"/>
          <w:szCs w:val="20"/>
        </w:rPr>
        <w:t xml:space="preserve">• The threshold is **strictly more than 50%**, not 50% or more.</w:t>
      </w:r>
    </w:p>
    <w:p>
      <w:pPr>
        <w:ind w:left="360" w:hanging="180"/>
      </w:pPr>
      <w:r>
        <w:rPr>
          <w:sz w:val="20"/>
          <w:szCs w:val="20"/>
        </w:rPr>
        <w:t xml:space="preserve">• The trigger includes:</w:t>
      </w:r>
    </w:p>
    <w:p>
      <w:pPr>
        <w:ind w:left="360" w:hanging="180"/>
      </w:pPr>
      <w:r>
        <w:rPr>
          <w:sz w:val="20"/>
          <w:szCs w:val="20"/>
        </w:rPr>
        <w:t xml:space="preserve">• direct or indirect ownership;</w:t>
      </w:r>
    </w:p>
    <w:p>
      <w:pPr>
        <w:ind w:left="360" w:hanging="180"/>
      </w:pPr>
      <w:r>
        <w:rPr>
          <w:sz w:val="20"/>
          <w:szCs w:val="20"/>
        </w:rPr>
        <w:t xml:space="preserve">• beneficial ownership under Rule 13d-3;</w:t>
      </w:r>
    </w:p>
    <w:p>
      <w:pPr>
        <w:ind w:left="360" w:hanging="180"/>
      </w:pPr>
      <w:r>
        <w:rPr>
          <w:sz w:val="20"/>
          <w:szCs w:val="20"/>
        </w:rPr>
        <w:t xml:space="preserve">• acquisitions by a person or group;</w:t>
      </w:r>
    </w:p>
    <w:p>
      <w:pPr>
        <w:ind w:left="360" w:hanging="180"/>
      </w:pPr>
      <w:r>
        <w:rPr>
          <w:sz w:val="20"/>
          <w:szCs w:val="20"/>
        </w:rPr>
        <w:t xml:space="preserve">• voting stock having general voting power to elect at least a majority of the board or equivalent governing body.</w:t>
      </w:r>
    </w:p>
    <w:p>
      <w:pPr>
        <w:ind w:left="360" w:hanging="180"/>
      </w:pPr>
      <w:r>
        <w:rPr>
          <w:sz w:val="20"/>
          <w:szCs w:val="20"/>
        </w:rPr>
        <w:t xml:space="preserve">• **“Voting Stock”** is defined in **§1.01**.</w:t>
      </w:r>
    </w:p>
    <w:p>
      <w:pPr>
        <w:spacing w:after="120" w:line="276" w:lineRule="auto"/>
      </w:pPr>
      <w:r>
        <w:rPr>
          <w:sz w:val="20"/>
          <w:szCs w:val="20"/>
        </w:rPr>
        <w:t xml:space="preserve">#### B. Subsidiary ownership trigger</w:t>
      </w:r>
    </w:p>
    <w:p>
      <w:pPr>
        <w:spacing w:after="120" w:line="276" w:lineRule="auto"/>
      </w:pPr>
      <w:r>
        <w:rPr>
          <w:sz w:val="20"/>
          <w:szCs w:val="20"/>
        </w:rPr>
        <w:t xml:space="preserve">The Borrower ceases to own, directly or indirectly, **100% of the Equity Interests of each of its Subsidiaries**, other than **Apex-Kenji Precision JV, LLC**, in which the Borrower must maintain an ownership interest of at least **51%**.</w:t>
      </w:r>
    </w:p>
    <w:p>
      <w:pPr>
        <w:ind w:left="360" w:hanging="180"/>
      </w:pPr>
      <w:r>
        <w:rPr>
          <w:sz w:val="20"/>
          <w:szCs w:val="20"/>
        </w:rPr>
        <w:t xml:space="preserve">• **§1.01 (“Change of Control”)(b)**.</w:t>
      </w:r>
    </w:p>
    <w:p>
      <w:pPr>
        <w:ind w:left="360" w:hanging="180"/>
      </w:pPr>
      <w:r>
        <w:rPr>
          <w:sz w:val="20"/>
          <w:szCs w:val="20"/>
        </w:rPr>
        <w:t xml:space="preserve">• The exception is limited to Apex-Kenji Precision JV, LLC.</w:t>
      </w:r>
    </w:p>
    <w:p>
      <w:pPr>
        <w:ind w:left="360" w:hanging="180"/>
      </w:pPr>
      <w:r>
        <w:rPr>
          <w:sz w:val="20"/>
          <w:szCs w:val="20"/>
        </w:rPr>
        <w:t xml:space="preserve">• The required minimum ownership in Apex-Kenji is **51%**.</w:t>
      </w:r>
    </w:p>
    <w:p>
      <w:pPr>
        <w:ind w:left="360" w:hanging="180"/>
      </w:pPr>
      <w:r>
        <w:rPr>
          <w:sz w:val="20"/>
          <w:szCs w:val="20"/>
        </w:rPr>
        <w:t xml:space="preserve">• A reduction in the Borrower’s interest in Apex-Kenji below **51%** triggers a Change of Control.</w:t>
      </w:r>
    </w:p>
    <w:p>
      <w:pPr>
        <w:ind w:left="360" w:hanging="180"/>
      </w:pPr>
      <w:r>
        <w:rPr>
          <w:sz w:val="20"/>
          <w:szCs w:val="20"/>
        </w:rPr>
        <w:t xml:space="preserve">• For every other Subsidiary, any reduction below **100% ownership** triggers a Change of Control.</w:t>
      </w:r>
    </w:p>
    <w:p>
      <w:pPr>
        <w:pStyle w:val="Heading3"/>
      </w:pPr>
      <w:r>
        <w:rPr>
          <w:b/>
          <w:sz w:val="21"/>
          <w:szCs w:val="21"/>
        </w:rPr>
        <w:t xml:space="preserve">Relevant ownership definitions</w:t>
      </w:r>
    </w:p>
    <w:p>
      <w:pPr>
        <w:ind w:left="360" w:hanging="180"/>
      </w:pPr>
      <w:r>
        <w:rPr>
          <w:sz w:val="20"/>
          <w:szCs w:val="20"/>
        </w:rPr>
        <w:t xml:space="preserve">• **“Subsidiary”** means an entity of which more than **50%** of outstanding Equity Interests having ordinary voting power is owned or controlled, directly or indirectly, by the relevant Person or one or more Subsidiaries.</w:t>
      </w:r>
    </w:p>
    <w:p>
      <w:pPr>
        <w:ind w:left="360" w:hanging="180"/>
      </w:pPr>
      <w:r>
        <w:rPr>
          <w:sz w:val="20"/>
          <w:szCs w:val="20"/>
        </w:rPr>
        <w:t xml:space="preserve">• **§1.01 (“Subsidiary”)**.</w:t>
      </w:r>
    </w:p>
    <w:p>
      <w:pPr>
        <w:ind w:left="360" w:hanging="180"/>
      </w:pPr>
      <w:r>
        <w:rPr>
          <w:sz w:val="20"/>
          <w:szCs w:val="20"/>
        </w:rPr>
        <w:t xml:space="preserve">• **“Equity Interests”** includes shares, partnership interests, LLC membership interests, beneficial interests, other equity ownership interests, warrants, options and other rights to acquire them.</w:t>
      </w:r>
    </w:p>
    <w:p>
      <w:pPr>
        <w:ind w:left="360" w:hanging="180"/>
      </w:pPr>
      <w:r>
        <w:rPr>
          <w:sz w:val="20"/>
          <w:szCs w:val="20"/>
        </w:rPr>
        <w:t xml:space="preserve">• **§1.01 (“Equity Interests”)**.</w:t>
      </w:r>
    </w:p>
    <w:p>
      <w:pPr>
        <w:ind w:left="360" w:hanging="180"/>
      </w:pPr>
      <w:r>
        <w:rPr>
          <w:sz w:val="20"/>
          <w:szCs w:val="20"/>
        </w:rPr>
        <w:t xml:space="preserve">• **“Affiliate”** control is defined to include direct or indirect power to direct management and policies through ownership of **10% or more of Voting Stock**, contract or otherwise.</w:t>
      </w:r>
    </w:p>
    <w:p>
      <w:pPr>
        <w:ind w:left="360" w:hanging="180"/>
      </w:pPr>
      <w:r>
        <w:rPr>
          <w:sz w:val="20"/>
          <w:szCs w:val="20"/>
        </w:rPr>
        <w:t xml:space="preserve">• **§1.01 (“Affiliate”)**.</w:t>
      </w:r>
    </w:p>
    <w:p>
      <w:pPr>
        <w:ind w:left="360" w:hanging="180"/>
      </w:pPr>
      <w:r>
        <w:rPr>
          <w:sz w:val="20"/>
          <w:szCs w:val="20"/>
        </w:rPr>
        <w:t xml:space="preserve">• The agreement defines “control” broadly by ownership, contract or other means, but the express Borrower Change of Control test uses the higher **more-than-50% Voting Stock** threshold.</w:t>
      </w:r>
    </w:p>
    <w:p>
      <w:pPr>
        <w:ind w:left="360" w:hanging="180"/>
      </w:pPr>
      <w:r>
        <w:rPr>
          <w:sz w:val="20"/>
          <w:szCs w:val="20"/>
        </w:rPr>
        <w:t xml:space="preserve">• **§1.01 (“Affiliate”); §1.01 (“Change of Control”)**.</w:t>
      </w:r>
    </w:p>
    <w:p>
      <w:pPr>
        <w:spacing w:after="120" w:line="276" w:lineRule="auto"/>
      </w:pPr>
      <w:r>
        <w:rPr>
          <w:sz w:val="20"/>
          <w:szCs w:val="20"/>
        </w:rPr>
        <w:t xml:space="preserve">---</w:t>
      </w:r>
    </w:p>
    <w:p>
      <w:pPr>
        <w:pStyle w:val="Heading2"/>
      </w:pPr>
      <w:r>
        <w:rPr>
          <w:b/>
          <w:sz w:val="24"/>
          <w:szCs w:val="24"/>
        </w:rPr>
        <w:t xml:space="preserve">3. Current subsidiary and investment structure</w:t>
      </w:r>
    </w:p>
    <w:p>
      <w:pPr>
        <w:ind w:left="360" w:hanging="180"/>
      </w:pPr>
      <w:r>
        <w:rPr>
          <w:sz w:val="20"/>
          <w:szCs w:val="20"/>
        </w:rPr>
        <w:t xml:space="preserve">• Apex Industrial Technologies owns, directly or indirectly, **55%** of **Apex-Kenji Precision JV, LLC**.</w:t>
      </w:r>
    </w:p>
    <w:p>
      <w:pPr>
        <w:ind w:left="360" w:hanging="180"/>
      </w:pPr>
      <w:r>
        <w:rPr>
          <w:sz w:val="20"/>
          <w:szCs w:val="20"/>
        </w:rPr>
        <w:t xml:space="preserve">• Kenji Valve Co., Ltd. owns the remaining **45%**.</w:t>
      </w:r>
    </w:p>
    <w:p>
      <w:pPr>
        <w:ind w:left="360" w:hanging="180"/>
      </w:pPr>
      <w:r>
        <w:rPr>
          <w:sz w:val="20"/>
          <w:szCs w:val="20"/>
        </w:rPr>
        <w:t xml:space="preserve">• Apex-Kenji is a Delaware LLC.</w:t>
      </w:r>
    </w:p>
    <w:p>
      <w:pPr>
        <w:ind w:left="360" w:hanging="180"/>
      </w:pPr>
      <w:r>
        <w:rPr>
          <w:sz w:val="20"/>
          <w:szCs w:val="20"/>
        </w:rPr>
        <w:t xml:space="preserve">• No other Borrower Subsidiaries exist as of the Effective Date.</w:t>
      </w:r>
    </w:p>
    <w:p>
      <w:pPr>
        <w:ind w:left="360" w:hanging="180"/>
      </w:pPr>
      <w:r>
        <w:rPr>
          <w:sz w:val="20"/>
          <w:szCs w:val="20"/>
        </w:rPr>
        <w:t xml:space="preserve">• Recitals; **§3.07**; **Schedule 3.07**.</w:t>
      </w:r>
    </w:p>
    <w:p>
      <w:pPr>
        <w:ind w:left="360" w:hanging="180"/>
      </w:pPr>
      <w:r>
        <w:rPr>
          <w:sz w:val="20"/>
          <w:szCs w:val="20"/>
        </w:rPr>
        <w:t xml:space="preserve">• The Joint Venture Agreement with Kenji Valve Co., Ltd. is a Material Contract.</w:t>
      </w:r>
    </w:p>
    <w:p>
      <w:pPr>
        <w:ind w:left="360" w:hanging="180"/>
      </w:pPr>
      <w:r>
        <w:rPr>
          <w:sz w:val="20"/>
          <w:szCs w:val="20"/>
        </w:rPr>
        <w:t xml:space="preserve">• **§3.08**; **Schedule 3.08, item 3**.</w:t>
      </w:r>
    </w:p>
    <w:p>
      <w:pPr>
        <w:ind w:left="360" w:hanging="180"/>
      </w:pPr>
      <w:r>
        <w:rPr>
          <w:sz w:val="20"/>
          <w:szCs w:val="20"/>
        </w:rPr>
        <w:t xml:space="preserve">• Apex-Kenji’s ownership is also identified as a Permitted Investment.</w:t>
      </w:r>
    </w:p>
    <w:p>
      <w:pPr>
        <w:ind w:left="360" w:hanging="180"/>
      </w:pPr>
      <w:r>
        <w:rPr>
          <w:sz w:val="20"/>
          <w:szCs w:val="20"/>
        </w:rPr>
        <w:t xml:space="preserve">• **§1.01 (“Permitted Investments”)(d)**.</w:t>
      </w:r>
    </w:p>
    <w:p>
      <w:pPr>
        <w:pStyle w:val="Heading3"/>
      </w:pPr>
      <w:r>
        <w:rPr>
          <w:b/>
          <w:sz w:val="21"/>
          <w:szCs w:val="21"/>
        </w:rPr>
        <w:t xml:space="preserve">Diligence implication</w:t>
      </w:r>
    </w:p>
    <w:p>
      <w:pPr>
        <w:spacing w:after="120" w:line="276" w:lineRule="auto"/>
      </w:pPr>
      <w:r>
        <w:rPr>
          <w:sz w:val="20"/>
          <w:szCs w:val="20"/>
        </w:rPr>
        <w:t xml:space="preserve">The Borrower currently owns **55%**, only **4 percentage points above** the contractual **51% minimum**. Any transaction, dilution, transfer, recapitalization, option exercise or other arrangement reducing the Borrower below 51% is a Change of Control.</w:t>
      </w:r>
    </w:p>
    <w:p>
      <w:pPr>
        <w:spacing w:after="120" w:line="276" w:lineRule="auto"/>
      </w:pPr>
      <w:r>
        <w:rPr>
          <w:sz w:val="20"/>
          <w:szCs w:val="20"/>
        </w:rPr>
        <w:t xml:space="preserve">---</w:t>
      </w:r>
    </w:p>
    <w:p>
      <w:pPr>
        <w:pStyle w:val="Heading2"/>
      </w:pPr>
      <w:r>
        <w:rPr>
          <w:b/>
          <w:sz w:val="24"/>
          <w:szCs w:val="24"/>
        </w:rPr>
        <w:t xml:space="preserve">4. Separate “Change in Control” Event of Default</w:t>
      </w:r>
    </w:p>
    <w:p>
      <w:pPr>
        <w:pStyle w:val="Heading3"/>
      </w:pPr>
      <w:r>
        <w:rPr>
          <w:b/>
          <w:sz w:val="21"/>
          <w:szCs w:val="21"/>
        </w:rPr>
        <w:t xml:space="preserve">Section 8.01(j)</w:t>
      </w:r>
    </w:p>
    <w:p>
      <w:pPr>
        <w:spacing w:after="120" w:line="276" w:lineRule="auto"/>
      </w:pPr>
      <w:r>
        <w:rPr>
          <w:sz w:val="20"/>
          <w:szCs w:val="20"/>
        </w:rPr>
        <w:t xml:space="preserve">A separately defined **“Change in Control”** is an Event of Default. It occurs upon either:</w:t>
      </w:r>
    </w:p>
    <w:p>
      <w:pPr>
        <w:ind w:left="360" w:hanging="180"/>
      </w:pPr>
      <w:r>
        <w:rPr>
          <w:sz w:val="20"/>
          <w:szCs w:val="20"/>
        </w:rPr>
        <w:t xml:space="preserve">1. Acquisition by any person or group of persons acting in concert of beneficial ownership of **more than 35% of the outstanding Voting Stock of the Borrower**; or</w:t>
      </w:r>
    </w:p>
    <w:p>
      <w:pPr>
        <w:ind w:left="360" w:hanging="180"/>
      </w:pPr>
      <w:r>
        <w:rPr>
          <w:sz w:val="20"/>
          <w:szCs w:val="20"/>
        </w:rPr>
        <w:t xml:space="preserve">2. Individuals who constituted the Borrower’s Board of Directors as of the Effective Date, together with approved replacement directors, cease to constitute a **majority of the Board of Directors**.</w:t>
      </w:r>
    </w:p>
    <w:p>
      <w:pPr>
        <w:ind w:left="360" w:hanging="180"/>
      </w:pPr>
      <w:r>
        <w:rPr>
          <w:sz w:val="20"/>
          <w:szCs w:val="20"/>
        </w:rPr>
        <w:t xml:space="preserve">• **§8.01(j)**.</w:t>
      </w:r>
    </w:p>
    <w:p>
      <w:pPr>
        <w:pStyle w:val="Heading3"/>
      </w:pPr>
      <w:r>
        <w:rPr>
          <w:b/>
          <w:sz w:val="21"/>
          <w:szCs w:val="21"/>
        </w:rPr>
        <w:t xml:space="preserve">Board composition test</w:t>
      </w:r>
    </w:p>
    <w:p>
      <w:pPr>
        <w:spacing w:after="120" w:line="276" w:lineRule="auto"/>
      </w:pPr>
      <w:r>
        <w:rPr>
          <w:sz w:val="20"/>
          <w:szCs w:val="20"/>
        </w:rPr>
        <w:t xml:space="preserve">The incumbent-director protection includes:</w:t>
      </w:r>
    </w:p>
    <w:p>
      <w:pPr>
        <w:ind w:left="360" w:hanging="180"/>
      </w:pPr>
      <w:r>
        <w:rPr>
          <w:sz w:val="20"/>
          <w:szCs w:val="20"/>
        </w:rPr>
        <w:t xml:space="preserve">• directors serving as of the Effective Date; and</w:t>
      </w:r>
    </w:p>
    <w:p>
      <w:pPr>
        <w:ind w:left="360" w:hanging="180"/>
      </w:pPr>
      <w:r>
        <w:rPr>
          <w:sz w:val="20"/>
          <w:szCs w:val="20"/>
        </w:rPr>
        <w:t xml:space="preserve">• replacement directors whose election or nomination was approved by a majority of directors then still in office who either:</w:t>
      </w:r>
    </w:p>
    <w:p>
      <w:pPr>
        <w:ind w:left="360" w:hanging="180"/>
      </w:pPr>
      <w:r>
        <w:rPr>
          <w:sz w:val="20"/>
          <w:szCs w:val="20"/>
        </w:rPr>
        <w:t xml:space="preserve">• were directors as of the Effective Date; or</w:t>
      </w:r>
    </w:p>
    <w:p>
      <w:pPr>
        <w:ind w:left="360" w:hanging="180"/>
      </w:pPr>
      <w:r>
        <w:rPr>
          <w:sz w:val="20"/>
          <w:szCs w:val="20"/>
        </w:rPr>
        <w:t xml:space="preserve">• had their election or nomination previously approved.</w:t>
      </w:r>
    </w:p>
    <w:p>
      <w:pPr>
        <w:spacing w:after="120" w:line="276" w:lineRule="auto"/>
      </w:pPr>
      <w:r>
        <w:rPr>
          <w:sz w:val="20"/>
          <w:szCs w:val="20"/>
        </w:rPr>
        <w:t xml:space="preserve">A board turnover that causes the approved incumbent group to cease constituting a majority is an immediate Event of Default, even without any equity acquisition.</w:t>
      </w:r>
    </w:p>
    <w:p>
      <w:pPr>
        <w:pStyle w:val="Heading3"/>
      </w:pPr>
      <w:r>
        <w:rPr>
          <w:b/>
          <w:sz w:val="21"/>
          <w:szCs w:val="21"/>
        </w:rPr>
        <w:t xml:space="preserve">Relationship between the two tests</w:t>
      </w:r>
    </w:p>
    <w:p>
      <w:pPr>
        <w:ind w:left="360" w:hanging="180"/>
      </w:pPr>
      <w:r>
        <w:rPr>
          <w:sz w:val="20"/>
          <w:szCs w:val="20"/>
        </w:rPr>
        <w:t xml:space="preserve">• The **35% acquisition threshold** in **§8.01(j)** is materially more restrictive than the **more-than-50% threshold** in **§1.01**.</w:t>
      </w:r>
    </w:p>
    <w:p>
      <w:pPr>
        <w:ind w:left="360" w:hanging="180"/>
      </w:pPr>
      <w:r>
        <w:rPr>
          <w:sz w:val="20"/>
          <w:szCs w:val="20"/>
        </w:rPr>
        <w:t xml:space="preserve">• An acquisition of more than **35% but not more than 50%** may constitute an Event of Default under **§8.01(j)** without constituting a “Change of Control” under **§1.01**.</w:t>
      </w:r>
    </w:p>
    <w:p>
      <w:pPr>
        <w:ind w:left="360" w:hanging="180"/>
      </w:pPr>
      <w:r>
        <w:rPr>
          <w:sz w:val="20"/>
          <w:szCs w:val="20"/>
        </w:rPr>
        <w:t xml:space="preserve">• A transaction that exceeds **50%** may constitute both:</w:t>
      </w:r>
    </w:p>
    <w:p>
      <w:pPr>
        <w:ind w:left="360" w:hanging="180"/>
      </w:pPr>
      <w:r>
        <w:rPr>
          <w:sz w:val="20"/>
          <w:szCs w:val="20"/>
        </w:rPr>
        <w:t xml:space="preserve">• a Change of Control under **§1.01(a)**; and</w:t>
      </w:r>
    </w:p>
    <w:p>
      <w:pPr>
        <w:ind w:left="360" w:hanging="180"/>
      </w:pPr>
      <w:r>
        <w:rPr>
          <w:sz w:val="20"/>
          <w:szCs w:val="20"/>
        </w:rPr>
        <w:t xml:space="preserve">• a Change in Control Event of Default under **§8.01(j)**.</w:t>
      </w:r>
    </w:p>
    <w:p>
      <w:pPr>
        <w:ind w:left="360" w:hanging="180"/>
      </w:pPr>
      <w:r>
        <w:rPr>
          <w:sz w:val="20"/>
          <w:szCs w:val="20"/>
        </w:rPr>
        <w:t xml:space="preserve">• The agreement separately requires notice of both “Change of Control” and “Change in Control.”</w:t>
      </w:r>
    </w:p>
    <w:p>
      <w:pPr>
        <w:ind w:left="360" w:hanging="180"/>
      </w:pPr>
      <w:r>
        <w:rPr>
          <w:sz w:val="20"/>
          <w:szCs w:val="20"/>
        </w:rPr>
        <w:t xml:space="preserve">• **§5.07(c)**.</w:t>
      </w:r>
    </w:p>
    <w:p>
      <w:pPr>
        <w:spacing w:after="120" w:line="276" w:lineRule="auto"/>
      </w:pPr>
      <w:r>
        <w:rPr>
          <w:sz w:val="20"/>
          <w:szCs w:val="20"/>
        </w:rPr>
        <w:t xml:space="preserve">---</w:t>
      </w:r>
    </w:p>
    <w:p>
      <w:pPr>
        <w:pStyle w:val="Heading2"/>
      </w:pPr>
      <w:r>
        <w:rPr>
          <w:b/>
          <w:sz w:val="24"/>
          <w:szCs w:val="24"/>
        </w:rPr>
        <w:t xml:space="preserve">5. Mergers, consolidations and fundamental changes</w:t>
      </w:r>
    </w:p>
    <w:p>
      <w:pPr>
        <w:pStyle w:val="Heading3"/>
      </w:pPr>
      <w:r>
        <w:rPr>
          <w:b/>
          <w:sz w:val="21"/>
          <w:szCs w:val="21"/>
        </w:rPr>
        <w:t xml:space="preserve">Section 6.03 — Fundamental Changes</w:t>
      </w:r>
    </w:p>
    <w:p>
      <w:pPr>
        <w:spacing w:after="120" w:line="276" w:lineRule="auto"/>
      </w:pPr>
      <w:r>
        <w:rPr>
          <w:sz w:val="20"/>
          <w:szCs w:val="20"/>
        </w:rPr>
        <w:t xml:space="preserve">The Borrower may not:</w:t>
      </w:r>
    </w:p>
    <w:p>
      <w:pPr>
        <w:ind w:left="360" w:hanging="180"/>
      </w:pPr>
      <w:r>
        <w:rPr>
          <w:sz w:val="20"/>
          <w:szCs w:val="20"/>
        </w:rPr>
        <w:t xml:space="preserve">• merge into or consolidate with another Person;</w:t>
      </w:r>
    </w:p>
    <w:p>
      <w:pPr>
        <w:ind w:left="360" w:hanging="180"/>
      </w:pPr>
      <w:r>
        <w:rPr>
          <w:sz w:val="20"/>
          <w:szCs w:val="20"/>
        </w:rPr>
        <w:t xml:space="preserve">• permit another Person to merge into or consolidate with it;</w:t>
      </w:r>
    </w:p>
    <w:p>
      <w:pPr>
        <w:ind w:left="360" w:hanging="180"/>
      </w:pPr>
      <w:r>
        <w:rPr>
          <w:sz w:val="20"/>
          <w:szCs w:val="20"/>
        </w:rPr>
        <w:t xml:space="preserve">• liquidate, wind up or dissolve;</w:t>
      </w:r>
    </w:p>
    <w:p>
      <w:pPr>
        <w:ind w:left="360" w:hanging="180"/>
      </w:pPr>
      <w:r>
        <w:rPr>
          <w:sz w:val="20"/>
          <w:szCs w:val="20"/>
        </w:rPr>
        <w:t xml:space="preserve">• suffer any liquidation or dissolution; or</w:t>
      </w:r>
    </w:p>
    <w:p>
      <w:pPr>
        <w:ind w:left="360" w:hanging="180"/>
      </w:pPr>
      <w:r>
        <w:rPr>
          <w:sz w:val="20"/>
          <w:szCs w:val="20"/>
        </w:rPr>
        <w:t xml:space="preserve">• sell all or substantially all of its assets.</w:t>
      </w:r>
    </w:p>
    <w:p>
      <w:pPr>
        <w:spacing w:after="120" w:line="276" w:lineRule="auto"/>
      </w:pPr>
      <w:r>
        <w:rPr>
          <w:sz w:val="20"/>
          <w:szCs w:val="20"/>
        </w:rPr>
        <w:t xml:space="preserve">Exceptions:</w:t>
      </w:r>
    </w:p>
    <w:p>
      <w:pPr>
        <w:ind w:left="360" w:hanging="180"/>
      </w:pPr>
      <w:r>
        <w:rPr>
          <w:sz w:val="20"/>
          <w:szCs w:val="20"/>
        </w:rPr>
        <w:t xml:space="preserve">1. A Subsidiary may merge into the Borrower, provided the Borrower is the surviving entity.</w:t>
      </w:r>
    </w:p>
    <w:p>
      <w:pPr>
        <w:ind w:left="360" w:hanging="180"/>
      </w:pPr>
      <w:r>
        <w:rPr>
          <w:sz w:val="20"/>
          <w:szCs w:val="20"/>
        </w:rPr>
        <w:t xml:space="preserve">2. A Subsidiary may merge into or consolidate with another Subsidiary.</w:t>
      </w:r>
    </w:p>
    <w:p>
      <w:pPr>
        <w:ind w:left="360" w:hanging="180"/>
      </w:pPr>
      <w:r>
        <w:rPr>
          <w:sz w:val="20"/>
          <w:szCs w:val="20"/>
        </w:rPr>
        <w:t xml:space="preserve">3. The Borrower may consummate a merger, consolidation or similar transaction if:</w:t>
      </w:r>
    </w:p>
    <w:p>
      <w:pPr>
        <w:ind w:left="360" w:hanging="180"/>
      </w:pPr>
      <w:r>
        <w:rPr>
          <w:sz w:val="20"/>
          <w:szCs w:val="20"/>
        </w:rPr>
        <w:t xml:space="preserve">• the Borrower is the surviving entity;</w:t>
      </w:r>
    </w:p>
    <w:p>
      <w:pPr>
        <w:ind w:left="360" w:hanging="180"/>
      </w:pPr>
      <w:r>
        <w:rPr>
          <w:sz w:val="20"/>
          <w:szCs w:val="20"/>
        </w:rPr>
        <w:t xml:space="preserve">• no Default or Event of Default exists or would result after giving pro forma effect; and</w:t>
      </w:r>
    </w:p>
    <w:p>
      <w:pPr>
        <w:ind w:left="360" w:hanging="180"/>
      </w:pPr>
      <w:r>
        <w:rPr>
          <w:sz w:val="20"/>
          <w:szCs w:val="20"/>
        </w:rPr>
        <w:t xml:space="preserve">• the Borrower delivers a Responsible Officer certificate to the Administrative Agent at least **10 Business Days before consummation**, together with reasonably requested supporting documentation.</w:t>
      </w:r>
    </w:p>
    <w:p>
      <w:pPr>
        <w:ind w:left="360" w:hanging="180"/>
      </w:pPr>
      <w:r>
        <w:rPr>
          <w:sz w:val="20"/>
          <w:szCs w:val="20"/>
        </w:rPr>
        <w:t xml:space="preserve">• **§6.03(a)-(c)**.</w:t>
      </w:r>
    </w:p>
    <w:p>
      <w:pPr>
        <w:pStyle w:val="Heading3"/>
      </w:pPr>
      <w:r>
        <w:rPr>
          <w:b/>
          <w:sz w:val="21"/>
          <w:szCs w:val="21"/>
        </w:rPr>
        <w:t xml:space="preserve">Change-of-Control reservation</w:t>
      </w:r>
    </w:p>
    <w:p>
      <w:pPr>
        <w:spacing w:after="120" w:line="276" w:lineRule="auto"/>
      </w:pPr>
      <w:r>
        <w:rPr>
          <w:sz w:val="20"/>
          <w:szCs w:val="20"/>
        </w:rPr>
        <w:t xml:space="preserve">Section 6.03 expressly states that its exceptions do not waive or limit:</w:t>
      </w:r>
    </w:p>
    <w:p>
      <w:pPr>
        <w:ind w:left="360" w:hanging="180"/>
      </w:pPr>
      <w:r>
        <w:rPr>
          <w:sz w:val="20"/>
          <w:szCs w:val="20"/>
        </w:rPr>
        <w:t xml:space="preserve">• the Change of Control mandatory prepayment provision in **§2.09(d)**; or</w:t>
      </w:r>
    </w:p>
    <w:p>
      <w:pPr>
        <w:ind w:left="360" w:hanging="180"/>
      </w:pPr>
      <w:r>
        <w:rPr>
          <w:sz w:val="20"/>
          <w:szCs w:val="20"/>
        </w:rPr>
        <w:t xml:space="preserve">• the Change in Control Event of Default in **§8.01(j)**.</w:t>
      </w:r>
    </w:p>
    <w:p>
      <w:pPr>
        <w:spacing w:after="120" w:line="276" w:lineRule="auto"/>
      </w:pPr>
      <w:r>
        <w:rPr>
          <w:sz w:val="20"/>
          <w:szCs w:val="20"/>
        </w:rPr>
        <w:t xml:space="preserve">Accordingly, a permitted surviving-company merger may still:</w:t>
      </w:r>
    </w:p>
    <w:p>
      <w:pPr>
        <w:ind w:left="360" w:hanging="180"/>
      </w:pPr>
      <w:r>
        <w:rPr>
          <w:sz w:val="20"/>
          <w:szCs w:val="20"/>
        </w:rPr>
        <w:t xml:space="preserve">• trigger the more-than-50% Change of Control test;</w:t>
      </w:r>
    </w:p>
    <w:p>
      <w:pPr>
        <w:ind w:left="360" w:hanging="180"/>
      </w:pPr>
      <w:r>
        <w:rPr>
          <w:sz w:val="20"/>
          <w:szCs w:val="20"/>
        </w:rPr>
        <w:t xml:space="preserve">• trigger the more-than-35% Change in Control test;</w:t>
      </w:r>
    </w:p>
    <w:p>
      <w:pPr>
        <w:ind w:left="360" w:hanging="180"/>
      </w:pPr>
      <w:r>
        <w:rPr>
          <w:sz w:val="20"/>
          <w:szCs w:val="20"/>
        </w:rPr>
        <w:t xml:space="preserve">• cause a board-composition Event of Default; or</w:t>
      </w:r>
    </w:p>
    <w:p>
      <w:pPr>
        <w:ind w:left="360" w:hanging="180"/>
      </w:pPr>
      <w:r>
        <w:rPr>
          <w:sz w:val="20"/>
          <w:szCs w:val="20"/>
        </w:rPr>
        <w:t xml:space="preserve">• require full repayment and termination.</w:t>
      </w:r>
    </w:p>
    <w:p>
      <w:pPr>
        <w:ind w:left="360" w:hanging="180"/>
      </w:pPr>
      <w:r>
        <w:rPr>
          <w:sz w:val="20"/>
          <w:szCs w:val="20"/>
        </w:rPr>
        <w:t xml:space="preserve">• **§6.03, final paragraph**.</w:t>
      </w:r>
    </w:p>
    <w:p>
      <w:pPr>
        <w:pStyle w:val="Heading3"/>
      </w:pPr>
      <w:r>
        <w:rPr>
          <w:b/>
          <w:sz w:val="21"/>
          <w:szCs w:val="21"/>
        </w:rPr>
        <w:t xml:space="preserve">Maintenance of existence</w:t>
      </w:r>
    </w:p>
    <w:p>
      <w:pPr>
        <w:spacing w:after="120" w:line="276" w:lineRule="auto"/>
      </w:pPr>
      <w:r>
        <w:rPr>
          <w:sz w:val="20"/>
          <w:szCs w:val="20"/>
        </w:rPr>
        <w:t xml:space="preserve">The Borrower must maintain its Delaware corporate existence and good standing, subject to a Material Adverse Effect qualification for foreign qualifications.</w:t>
      </w:r>
    </w:p>
    <w:p>
      <w:pPr>
        <w:ind w:left="360" w:hanging="180"/>
      </w:pPr>
      <w:r>
        <w:rPr>
          <w:sz w:val="20"/>
          <w:szCs w:val="20"/>
        </w:rPr>
        <w:t xml:space="preserve">• **§5.06**.</w:t>
      </w:r>
    </w:p>
    <w:p>
      <w:pPr>
        <w:spacing w:after="120" w:line="276" w:lineRule="auto"/>
      </w:pPr>
      <w:r>
        <w:rPr>
          <w:sz w:val="20"/>
          <w:szCs w:val="20"/>
        </w:rPr>
        <w:t xml:space="preserve">---</w:t>
      </w:r>
    </w:p>
    <w:p>
      <w:pPr>
        <w:pStyle w:val="Heading2"/>
      </w:pPr>
      <w:r>
        <w:rPr>
          <w:b/>
          <w:sz w:val="24"/>
          <w:szCs w:val="24"/>
        </w:rPr>
        <w:t xml:space="preserve">6. Asset sales, Equity Interest transfers and related consequences</w:t>
      </w:r>
    </w:p>
    <w:p>
      <w:pPr>
        <w:pStyle w:val="Heading3"/>
      </w:pPr>
      <w:r>
        <w:rPr>
          <w:b/>
          <w:sz w:val="21"/>
          <w:szCs w:val="21"/>
        </w:rPr>
        <w:t xml:space="preserve">Section 6.04 — Dispositions</w:t>
      </w:r>
    </w:p>
    <w:p>
      <w:pPr>
        <w:spacing w:after="120" w:line="276" w:lineRule="auto"/>
      </w:pPr>
      <w:r>
        <w:rPr>
          <w:sz w:val="20"/>
          <w:szCs w:val="20"/>
        </w:rPr>
        <w:t xml:space="preserve">The Borrower may not sell, transfer, lease or otherwise dispose of assets, including **Equity Interests of any Subsidiary**, except:</w:t>
      </w:r>
    </w:p>
    <w:p>
      <w:pPr>
        <w:ind w:left="360" w:hanging="180"/>
      </w:pPr>
      <w:r>
        <w:rPr>
          <w:sz w:val="20"/>
          <w:szCs w:val="20"/>
        </w:rPr>
        <w:t xml:space="preserve">1. inventory sales in the ordinary course;</w:t>
      </w:r>
    </w:p>
    <w:p>
      <w:pPr>
        <w:ind w:left="360" w:hanging="180"/>
      </w:pPr>
      <w:r>
        <w:rPr>
          <w:sz w:val="20"/>
          <w:szCs w:val="20"/>
        </w:rPr>
        <w:t xml:space="preserve">2. dispositions of obsolete or worn-out equipment in the ordinary course; and</w:t>
      </w:r>
    </w:p>
    <w:p>
      <w:pPr>
        <w:ind w:left="360" w:hanging="180"/>
      </w:pPr>
      <w:r>
        <w:rPr>
          <w:sz w:val="20"/>
          <w:szCs w:val="20"/>
        </w:rPr>
        <w:t xml:space="preserve">3. other asset dispositions with aggregate fair market value not exceeding **$2,500,000 in any fiscal year**.</w:t>
      </w:r>
    </w:p>
    <w:p>
      <w:pPr>
        <w:ind w:left="360" w:hanging="180"/>
      </w:pPr>
      <w:r>
        <w:rPr>
          <w:sz w:val="20"/>
          <w:szCs w:val="20"/>
        </w:rPr>
        <w:t xml:space="preserve">• **§6.04(a)-(c)**.</w:t>
      </w:r>
    </w:p>
    <w:p>
      <w:pPr>
        <w:spacing w:after="120" w:line="276" w:lineRule="auto"/>
      </w:pPr>
      <w:r>
        <w:rPr>
          <w:sz w:val="20"/>
          <w:szCs w:val="20"/>
        </w:rPr>
        <w:t xml:space="preserve">An Equity Interest transfer affecting a Subsidiary must therefore be analyzed under both:</w:t>
      </w:r>
    </w:p>
    <w:p>
      <w:pPr>
        <w:ind w:left="360" w:hanging="180"/>
      </w:pPr>
      <w:r>
        <w:rPr>
          <w:sz w:val="20"/>
          <w:szCs w:val="20"/>
        </w:rPr>
        <w:t xml:space="preserve">• the **$2,500,000 annual disposition basket** in §6.04; and</w:t>
      </w:r>
    </w:p>
    <w:p>
      <w:pPr>
        <w:ind w:left="360" w:hanging="180"/>
      </w:pPr>
      <w:r>
        <w:rPr>
          <w:sz w:val="20"/>
          <w:szCs w:val="20"/>
        </w:rPr>
        <w:t xml:space="preserve">• the separate ownership maintenance test in **§1.01(b)**.</w:t>
      </w:r>
    </w:p>
    <w:p>
      <w:pPr>
        <w:spacing w:after="120" w:line="276" w:lineRule="auto"/>
      </w:pPr>
      <w:r>
        <w:rPr>
          <w:sz w:val="20"/>
          <w:szCs w:val="20"/>
        </w:rPr>
        <w:t xml:space="preserve">The basket does not expressly override the Change of Control provision. A disposition may be within the dollar basket but still trigger a Change of Control if it reduces ownership below the applicable threshold.</w:t>
      </w:r>
    </w:p>
    <w:p>
      <w:pPr>
        <w:pStyle w:val="Heading3"/>
      </w:pPr>
      <w:r>
        <w:rPr>
          <w:b/>
          <w:sz w:val="21"/>
          <w:szCs w:val="21"/>
        </w:rPr>
        <w:t xml:space="preserve">Mandatory prepayment for asset-sale proceeds</w:t>
      </w:r>
    </w:p>
    <w:p>
      <w:pPr>
        <w:spacing w:after="120" w:line="276" w:lineRule="auto"/>
      </w:pPr>
      <w:r>
        <w:rPr>
          <w:sz w:val="20"/>
          <w:szCs w:val="20"/>
        </w:rPr>
        <w:t xml:space="preserve">If the Borrower or any Subsidiary receives aggregate Net Cash Proceeds exceeding **$2,500,000 in any fiscal year** from asset sales or other dispositions, other than ordinary-course inventory sales, the Borrower must prepay outstanding Revolving Loans in an amount equal to **100% of those Net Cash Proceeds** within **5 Business Days** after receipt.</w:t>
      </w:r>
    </w:p>
    <w:p>
      <w:pPr>
        <w:spacing w:after="120" w:line="276" w:lineRule="auto"/>
      </w:pPr>
      <w:r>
        <w:rPr>
          <w:sz w:val="20"/>
          <w:szCs w:val="20"/>
        </w:rPr>
        <w:t xml:space="preserve">Reinvestment exception:</w:t>
      </w:r>
    </w:p>
    <w:p>
      <w:pPr>
        <w:ind w:left="360" w:hanging="180"/>
      </w:pPr>
      <w:r>
        <w:rPr>
          <w:sz w:val="20"/>
          <w:szCs w:val="20"/>
        </w:rPr>
        <w:t xml:space="preserve">• no prepayment is required to the extent the Borrower reinvests the proceeds in assets useful in the business within **365 days** after receipt; or</w:t>
      </w:r>
    </w:p>
    <w:p>
      <w:pPr>
        <w:ind w:left="360" w:hanging="180"/>
      </w:pPr>
      <w:r>
        <w:rPr>
          <w:sz w:val="20"/>
          <w:szCs w:val="20"/>
        </w:rPr>
        <w:t xml:space="preserve">• enters into a binding commitment to reinvest within that period and completes the reinvestment within an additional **180 days**.</w:t>
      </w:r>
    </w:p>
    <w:p>
      <w:pPr>
        <w:ind w:left="360" w:hanging="180"/>
      </w:pPr>
      <w:r>
        <w:rPr>
          <w:sz w:val="20"/>
          <w:szCs w:val="20"/>
        </w:rPr>
        <w:t xml:space="preserve">• **§2.09(a)**.</w:t>
      </w:r>
    </w:p>
    <w:p>
      <w:pPr>
        <w:pStyle w:val="Heading3"/>
      </w:pPr>
      <w:r>
        <w:rPr>
          <w:b/>
          <w:sz w:val="21"/>
          <w:szCs w:val="21"/>
        </w:rPr>
        <w:t xml:space="preserve">Change-of-Control priority</w:t>
      </w:r>
    </w:p>
    <w:p>
      <w:pPr>
        <w:spacing w:after="120" w:line="276" w:lineRule="auto"/>
      </w:pPr>
      <w:r>
        <w:rPr>
          <w:sz w:val="20"/>
          <w:szCs w:val="20"/>
        </w:rPr>
        <w:t xml:space="preserve">Section 6.03 expressly preserves §2.09(d), and the Change of Control repayment obligation applies independently of the asset-sale basket and reinvestment exception.</w:t>
      </w:r>
    </w:p>
    <w:p>
      <w:pPr>
        <w:ind w:left="360" w:hanging="180"/>
      </w:pPr>
      <w:r>
        <w:rPr>
          <w:sz w:val="20"/>
          <w:szCs w:val="20"/>
        </w:rPr>
        <w:t xml:space="preserve">• **§6.03, final paragraph**; **§2.09(d)**.</w:t>
      </w:r>
    </w:p>
    <w:p>
      <w:pPr>
        <w:spacing w:after="120" w:line="276" w:lineRule="auto"/>
      </w:pPr>
      <w:r>
        <w:rPr>
          <w:sz w:val="20"/>
          <w:szCs w:val="20"/>
        </w:rPr>
        <w:t xml:space="preserve">---</w:t>
      </w:r>
    </w:p>
    <w:p>
      <w:pPr>
        <w:pStyle w:val="Heading2"/>
      </w:pPr>
      <w:r>
        <w:rPr>
          <w:b/>
          <w:sz w:val="24"/>
          <w:szCs w:val="24"/>
        </w:rPr>
        <w:t xml:space="preserve">7. Management and control changes</w:t>
      </w:r>
    </w:p>
    <w:p>
      <w:pPr>
        <w:spacing w:after="120" w:line="276" w:lineRule="auto"/>
      </w:pPr>
      <w:r>
        <w:rPr>
          <w:sz w:val="20"/>
          <w:szCs w:val="20"/>
        </w:rPr>
        <w:t xml:space="preserve">The agreement does not treat ordinary management changes alone as a §1.01 Change of Control. However:</w:t>
      </w:r>
    </w:p>
    <w:p>
      <w:pPr>
        <w:ind w:left="360" w:hanging="180"/>
      </w:pPr>
      <w:r>
        <w:rPr>
          <w:sz w:val="20"/>
          <w:szCs w:val="20"/>
        </w:rPr>
        <w:t xml:space="preserve">• A board turnover causing the Effective Date incumbent-approved directors to cease constituting a majority is an Event of Default.</w:t>
      </w:r>
    </w:p>
    <w:p>
      <w:pPr>
        <w:ind w:left="360" w:hanging="180"/>
      </w:pPr>
      <w:r>
        <w:rPr>
          <w:sz w:val="20"/>
          <w:szCs w:val="20"/>
        </w:rPr>
        <w:t xml:space="preserve">• **§8.01(j)(y)**.</w:t>
      </w:r>
    </w:p>
    <w:p>
      <w:pPr>
        <w:ind w:left="360" w:hanging="180"/>
      </w:pPr>
      <w:r>
        <w:rPr>
          <w:sz w:val="20"/>
          <w:szCs w:val="20"/>
        </w:rPr>
        <w:t xml:space="preserve">• A transaction or arrangement giving another person contractual or other power to direct management and policies may be relevant to the broad “control” concept in the Affiliate definition.</w:t>
      </w:r>
    </w:p>
    <w:p>
      <w:pPr>
        <w:ind w:left="360" w:hanging="180"/>
      </w:pPr>
      <w:r>
        <w:rPr>
          <w:sz w:val="20"/>
          <w:szCs w:val="20"/>
        </w:rPr>
        <w:t xml:space="preserve">• **§1.01 (“Affiliate”)**.</w:t>
      </w:r>
    </w:p>
    <w:p>
      <w:pPr>
        <w:ind w:left="360" w:hanging="180"/>
      </w:pPr>
      <w:r>
        <w:rPr>
          <w:sz w:val="20"/>
          <w:szCs w:val="20"/>
        </w:rPr>
        <w:t xml:space="preserve">• Changes involving officers, directors or management may also affect:</w:t>
      </w:r>
    </w:p>
    <w:p>
      <w:pPr>
        <w:ind w:left="360" w:hanging="180"/>
      </w:pPr>
      <w:r>
        <w:rPr>
          <w:sz w:val="20"/>
          <w:szCs w:val="20"/>
        </w:rPr>
        <w:t xml:space="preserve">• representations regarding authorization and corporate action;</w:t>
      </w:r>
    </w:p>
    <w:p>
      <w:pPr>
        <w:ind w:left="360" w:hanging="180"/>
      </w:pPr>
      <w:r>
        <w:rPr>
          <w:sz w:val="20"/>
          <w:szCs w:val="20"/>
        </w:rPr>
        <w:t xml:space="preserve">• the Borrower’s covenant to maintain existence;</w:t>
      </w:r>
    </w:p>
    <w:p>
      <w:pPr>
        <w:ind w:left="360" w:hanging="180"/>
      </w:pPr>
      <w:r>
        <w:rPr>
          <w:sz w:val="20"/>
          <w:szCs w:val="20"/>
        </w:rPr>
        <w:t xml:space="preserve">• Material Adverse Effect representations and notices; and</w:t>
      </w:r>
    </w:p>
    <w:p>
      <w:pPr>
        <w:ind w:left="360" w:hanging="180"/>
      </w:pPr>
      <w:r>
        <w:rPr>
          <w:sz w:val="20"/>
          <w:szCs w:val="20"/>
        </w:rPr>
        <w:t xml:space="preserve">• Material Contracts, including the identified employment agreement with the Chief Technology Officer.</w:t>
      </w:r>
    </w:p>
    <w:p>
      <w:pPr>
        <w:ind w:left="360" w:hanging="180"/>
      </w:pPr>
      <w:r>
        <w:rPr>
          <w:sz w:val="20"/>
          <w:szCs w:val="20"/>
        </w:rPr>
        <w:t xml:space="preserve">• **§3.01**; **§3.02**; **§3.04**; **§5.01(d)**; **§5.06**; **§5.07(d)-(e)**; **§3.08**; **Schedule 3.08, item 5**.</w:t>
      </w:r>
    </w:p>
    <w:p>
      <w:pPr>
        <w:spacing w:after="120" w:line="276" w:lineRule="auto"/>
      </w:pPr>
      <w:r>
        <w:rPr>
          <w:sz w:val="20"/>
          <w:szCs w:val="20"/>
        </w:rPr>
        <w:t xml:space="preserve">---</w:t>
      </w:r>
    </w:p>
    <w:p>
      <w:pPr>
        <w:pStyle w:val="Heading2"/>
      </w:pPr>
      <w:r>
        <w:rPr>
          <w:b/>
          <w:sz w:val="24"/>
          <w:szCs w:val="24"/>
        </w:rPr>
        <w:t xml:space="preserve">8. Notice obligations and timing</w:t>
      </w:r>
    </w:p>
    <w:p>
      <w:pPr>
        <w:pStyle w:val="Heading3"/>
      </w:pPr>
      <w:r>
        <w:rPr>
          <w:b/>
          <w:sz w:val="21"/>
          <w:szCs w:val="21"/>
        </w:rPr>
        <w:t xml:space="preserve">Specific Change of Control notice</w:t>
      </w:r>
    </w:p>
    <w:p>
      <w:pPr>
        <w:spacing w:after="120" w:line="276" w:lineRule="auto"/>
      </w:pPr>
      <w:r>
        <w:rPr>
          <w:sz w:val="20"/>
          <w:szCs w:val="20"/>
        </w:rPr>
        <w:t xml:space="preserve">Upon occurrence of a Change of Control, the Borrower must notify the Administrative Agent:</w:t>
      </w:r>
    </w:p>
    <w:p>
      <w:pPr>
        <w:ind w:left="360" w:hanging="180"/>
      </w:pPr>
      <w:r>
        <w:rPr>
          <w:sz w:val="20"/>
          <w:szCs w:val="20"/>
        </w:rPr>
        <w:t xml:space="preserve">• promptly; and</w:t>
      </w:r>
    </w:p>
    <w:p>
      <w:pPr>
        <w:ind w:left="360" w:hanging="180"/>
      </w:pPr>
      <w:r>
        <w:rPr>
          <w:sz w:val="20"/>
          <w:szCs w:val="20"/>
        </w:rPr>
        <w:t xml:space="preserve">• in any event within **5 Business Days** after the date on which the Borrower becomes aware of the occurrence.</w:t>
      </w:r>
    </w:p>
    <w:p>
      <w:pPr>
        <w:ind w:left="360" w:hanging="180"/>
      </w:pPr>
      <w:r>
        <w:rPr>
          <w:sz w:val="20"/>
          <w:szCs w:val="20"/>
        </w:rPr>
        <w:t xml:space="preserve">• **§2.09(d)**.</w:t>
      </w:r>
    </w:p>
    <w:p>
      <w:pPr>
        <w:pStyle w:val="Heading3"/>
      </w:pPr>
      <w:r>
        <w:rPr>
          <w:b/>
          <w:sz w:val="21"/>
          <w:szCs w:val="21"/>
        </w:rPr>
        <w:t xml:space="preserve">General notice covenant</w:t>
      </w:r>
    </w:p>
    <w:p>
      <w:pPr>
        <w:spacing w:after="120" w:line="276" w:lineRule="auto"/>
      </w:pPr>
      <w:r>
        <w:rPr>
          <w:sz w:val="20"/>
          <w:szCs w:val="20"/>
        </w:rPr>
        <w:t xml:space="preserve">The Borrower must also give written notice within **5 Business Days** after a Responsible Officer obtains knowledge of:</w:t>
      </w:r>
    </w:p>
    <w:p>
      <w:pPr>
        <w:ind w:left="360" w:hanging="180"/>
      </w:pPr>
      <w:r>
        <w:rPr>
          <w:sz w:val="20"/>
          <w:szCs w:val="20"/>
        </w:rPr>
        <w:t xml:space="preserve">• any Change of Control or Change in Control;</w:t>
      </w:r>
    </w:p>
    <w:p>
      <w:pPr>
        <w:ind w:left="360" w:hanging="180"/>
      </w:pPr>
      <w:r>
        <w:rPr>
          <w:sz w:val="20"/>
          <w:szCs w:val="20"/>
        </w:rPr>
        <w:t xml:space="preserve">• any Default or Event of Default;</w:t>
      </w:r>
    </w:p>
    <w:p>
      <w:pPr>
        <w:ind w:left="360" w:hanging="180"/>
      </w:pPr>
      <w:r>
        <w:rPr>
          <w:sz w:val="20"/>
          <w:szCs w:val="20"/>
        </w:rPr>
        <w:t xml:space="preserve">• any Material Adverse Effect event;</w:t>
      </w:r>
    </w:p>
    <w:p>
      <w:pPr>
        <w:ind w:left="360" w:hanging="180"/>
      </w:pPr>
      <w:r>
        <w:rPr>
          <w:sz w:val="20"/>
          <w:szCs w:val="20"/>
        </w:rPr>
        <w:t xml:space="preserve">• material litigation or governmental proceedings exceeding **$1,000,000** potential liability;</w:t>
      </w:r>
    </w:p>
    <w:p>
      <w:pPr>
        <w:ind w:left="360" w:hanging="180"/>
      </w:pPr>
      <w:r>
        <w:rPr>
          <w:sz w:val="20"/>
          <w:szCs w:val="20"/>
        </w:rPr>
        <w:t xml:space="preserve">• termination or material modification of a Material Contract.</w:t>
      </w:r>
    </w:p>
    <w:p>
      <w:pPr>
        <w:ind w:left="360" w:hanging="180"/>
      </w:pPr>
      <w:r>
        <w:rPr>
          <w:sz w:val="20"/>
          <w:szCs w:val="20"/>
        </w:rPr>
        <w:t xml:space="preserve">• **§5.01(c)-(d)**; **§5.07(a)-(e)**.</w:t>
      </w:r>
    </w:p>
    <w:p>
      <w:pPr>
        <w:pStyle w:val="Heading3"/>
      </w:pPr>
      <w:r>
        <w:rPr>
          <w:b/>
          <w:sz w:val="21"/>
          <w:szCs w:val="21"/>
        </w:rPr>
        <w:t xml:space="preserve">Delivery mechanics</w:t>
      </w:r>
    </w:p>
    <w:p>
      <w:pPr>
        <w:spacing w:after="120" w:line="276" w:lineRule="auto"/>
      </w:pPr>
      <w:r>
        <w:rPr>
          <w:sz w:val="20"/>
          <w:szCs w:val="20"/>
        </w:rPr>
        <w:t xml:space="preserve">Notices must be in writing and may be delivered by:</w:t>
      </w:r>
    </w:p>
    <w:p>
      <w:pPr>
        <w:ind w:left="360" w:hanging="180"/>
      </w:pPr>
      <w:r>
        <w:rPr>
          <w:sz w:val="20"/>
          <w:szCs w:val="20"/>
        </w:rPr>
        <w:t xml:space="preserve">• hand;</w:t>
      </w:r>
    </w:p>
    <w:p>
      <w:pPr>
        <w:ind w:left="360" w:hanging="180"/>
      </w:pPr>
      <w:r>
        <w:rPr>
          <w:sz w:val="20"/>
          <w:szCs w:val="20"/>
        </w:rPr>
        <w:t xml:space="preserve">• overnight courier;</w:t>
      </w:r>
    </w:p>
    <w:p>
      <w:pPr>
        <w:ind w:left="360" w:hanging="180"/>
      </w:pPr>
      <w:r>
        <w:rPr>
          <w:sz w:val="20"/>
          <w:szCs w:val="20"/>
        </w:rPr>
        <w:t xml:space="preserve">• certified or registered mail;</w:t>
      </w:r>
    </w:p>
    <w:p>
      <w:pPr>
        <w:ind w:left="360" w:hanging="180"/>
      </w:pPr>
      <w:r>
        <w:rPr>
          <w:sz w:val="20"/>
          <w:szCs w:val="20"/>
        </w:rPr>
        <w:t xml:space="preserve">• facsimile; or</w:t>
      </w:r>
    </w:p>
    <w:p>
      <w:pPr>
        <w:ind w:left="360" w:hanging="180"/>
      </w:pPr>
      <w:r>
        <w:rPr>
          <w:sz w:val="20"/>
          <w:szCs w:val="20"/>
        </w:rPr>
        <w:t xml:space="preserve">• electronic mail.</w:t>
      </w:r>
    </w:p>
    <w:p>
      <w:pPr>
        <w:spacing w:after="120" w:line="276" w:lineRule="auto"/>
      </w:pPr>
      <w:r>
        <w:rPr>
          <w:sz w:val="20"/>
          <w:szCs w:val="20"/>
        </w:rPr>
        <w:t xml:space="preserve">Effectiveness:</w:t>
      </w:r>
    </w:p>
    <w:p>
      <w:pPr>
        <w:ind w:left="360" w:hanging="180"/>
      </w:pPr>
      <w:r>
        <w:rPr>
          <w:sz w:val="20"/>
          <w:szCs w:val="20"/>
        </w:rPr>
        <w:t xml:space="preserve">• hand: upon delivery;</w:t>
      </w:r>
    </w:p>
    <w:p>
      <w:pPr>
        <w:ind w:left="360" w:hanging="180"/>
      </w:pPr>
      <w:r>
        <w:rPr>
          <w:sz w:val="20"/>
          <w:szCs w:val="20"/>
        </w:rPr>
        <w:t xml:space="preserve">• overnight courier: **1 Business Day** after dispatch;</w:t>
      </w:r>
    </w:p>
    <w:p>
      <w:pPr>
        <w:ind w:left="360" w:hanging="180"/>
      </w:pPr>
      <w:r>
        <w:rPr>
          <w:sz w:val="20"/>
          <w:szCs w:val="20"/>
        </w:rPr>
        <w:t xml:space="preserve">• mail: **3 Business Days** after posting;</w:t>
      </w:r>
    </w:p>
    <w:p>
      <w:pPr>
        <w:ind w:left="360" w:hanging="180"/>
      </w:pPr>
      <w:r>
        <w:rPr>
          <w:sz w:val="20"/>
          <w:szCs w:val="20"/>
        </w:rPr>
        <w:t xml:space="preserve">• facsimile/email: upon confirmation of transmission.</w:t>
      </w:r>
    </w:p>
    <w:p>
      <w:pPr>
        <w:ind w:left="360" w:hanging="180"/>
      </w:pPr>
      <w:r>
        <w:rPr>
          <w:sz w:val="20"/>
          <w:szCs w:val="20"/>
        </w:rPr>
        <w:t xml:space="preserve">• **§10.01**.</w:t>
      </w:r>
    </w:p>
    <w:p>
      <w:pPr>
        <w:spacing w:after="120" w:line="276" w:lineRule="auto"/>
      </w:pPr>
      <w:r>
        <w:rPr>
          <w:sz w:val="20"/>
          <w:szCs w:val="20"/>
        </w:rPr>
        <w:t xml:space="preserve">Notice contacts:</w:t>
      </w:r>
    </w:p>
    <w:p>
      <w:pPr>
        <w:ind w:left="360" w:hanging="180"/>
      </w:pPr>
      <w:r>
        <w:rPr>
          <w:sz w:val="20"/>
          <w:szCs w:val="20"/>
        </w:rPr>
        <w:t xml:space="preserve">• Borrower: Robert Fenn, General Counsel, **rfenn@apexindustrialtech.com**.</w:t>
      </w:r>
    </w:p>
    <w:p>
      <w:pPr>
        <w:ind w:left="360" w:hanging="180"/>
      </w:pPr>
      <w:r>
        <w:rPr>
          <w:sz w:val="20"/>
          <w:szCs w:val="20"/>
        </w:rPr>
        <w:t xml:space="preserve">• Administrative Agent: Commercial Lending Division, **creditadmin@summitnational.com**.</w:t>
      </w:r>
    </w:p>
    <w:p>
      <w:pPr>
        <w:ind w:left="360" w:hanging="180"/>
      </w:pPr>
      <w:r>
        <w:rPr>
          <w:sz w:val="20"/>
          <w:szCs w:val="20"/>
        </w:rPr>
        <w:t xml:space="preserve">• Ridgeline: Loan Administration, **loanadmin@ridgelinecommercial.com**.</w:t>
      </w:r>
    </w:p>
    <w:p>
      <w:pPr>
        <w:ind w:left="360" w:hanging="180"/>
      </w:pPr>
      <w:r>
        <w:rPr>
          <w:sz w:val="20"/>
          <w:szCs w:val="20"/>
        </w:rPr>
        <w:t xml:space="preserve">• **§10.01**.</w:t>
      </w:r>
    </w:p>
    <w:p>
      <w:pPr>
        <w:spacing w:after="120" w:line="276" w:lineRule="auto"/>
      </w:pPr>
      <w:r>
        <w:rPr>
          <w:sz w:val="20"/>
          <w:szCs w:val="20"/>
        </w:rPr>
        <w:t xml:space="preserve">---</w:t>
      </w:r>
    </w:p>
    <w:p>
      <w:pPr>
        <w:pStyle w:val="Heading2"/>
      </w:pPr>
      <w:r>
        <w:rPr>
          <w:b/>
          <w:sz w:val="24"/>
          <w:szCs w:val="24"/>
        </w:rPr>
        <w:t xml:space="preserve">9. Change-of-Control consequences</w:t>
      </w:r>
    </w:p>
    <w:p>
      <w:pPr>
        <w:pStyle w:val="Heading3"/>
      </w:pPr>
      <w:r>
        <w:rPr>
          <w:b/>
          <w:sz w:val="21"/>
          <w:szCs w:val="21"/>
        </w:rPr>
        <w:t xml:space="preserve">Mandatory prepayment and termination</w:t>
      </w:r>
    </w:p>
    <w:p>
      <w:pPr>
        <w:spacing w:after="120" w:line="276" w:lineRule="auto"/>
      </w:pPr>
      <w:r>
        <w:rPr>
          <w:sz w:val="20"/>
          <w:szCs w:val="20"/>
        </w:rPr>
        <w:t xml:space="preserve">Upon a §1.01 Change of Control, the Borrower must, within **30 days** after the Change of Control:</w:t>
      </w:r>
    </w:p>
    <w:p>
      <w:pPr>
        <w:ind w:left="360" w:hanging="180"/>
      </w:pPr>
      <w:r>
        <w:rPr>
          <w:sz w:val="20"/>
          <w:szCs w:val="20"/>
        </w:rPr>
        <w:t xml:space="preserve">• prepay **all outstanding Revolving Loans in full**;</w:t>
      </w:r>
    </w:p>
    <w:p>
      <w:pPr>
        <w:ind w:left="360" w:hanging="180"/>
      </w:pPr>
      <w:r>
        <w:rPr>
          <w:sz w:val="20"/>
          <w:szCs w:val="20"/>
        </w:rPr>
        <w:t xml:space="preserve">• pay all accrued and unpaid interest; and</w:t>
      </w:r>
    </w:p>
    <w:p>
      <w:pPr>
        <w:ind w:left="360" w:hanging="180"/>
      </w:pPr>
      <w:r>
        <w:rPr>
          <w:sz w:val="20"/>
          <w:szCs w:val="20"/>
        </w:rPr>
        <w:t xml:space="preserve">• pay all other amounts then due under the agreement.</w:t>
      </w:r>
    </w:p>
    <w:p>
      <w:pPr>
        <w:spacing w:after="120" w:line="276" w:lineRule="auto"/>
      </w:pPr>
      <w:r>
        <w:rPr>
          <w:sz w:val="20"/>
          <w:szCs w:val="20"/>
        </w:rPr>
        <w:t xml:space="preserve">All Commitments automatically terminate.</w:t>
      </w:r>
    </w:p>
    <w:p>
      <w:pPr>
        <w:ind w:left="360" w:hanging="180"/>
      </w:pPr>
      <w:r>
        <w:rPr>
          <w:sz w:val="20"/>
          <w:szCs w:val="20"/>
        </w:rPr>
        <w:t xml:space="preserve">• **§2.09(d)**.</w:t>
      </w:r>
    </w:p>
    <w:p>
      <w:pPr>
        <w:spacing w:after="120" w:line="276" w:lineRule="auto"/>
      </w:pPr>
      <w:r>
        <w:rPr>
          <w:sz w:val="20"/>
          <w:szCs w:val="20"/>
        </w:rPr>
        <w:t xml:space="preserve">The agreement specifically states that, based on the Effective Date amount, the mandatory payment would have been:</w:t>
      </w:r>
    </w:p>
    <w:p>
      <w:pPr>
        <w:ind w:left="360" w:hanging="180"/>
      </w:pPr>
      <w:r>
        <w:rPr>
          <w:sz w:val="20"/>
          <w:szCs w:val="20"/>
        </w:rPr>
        <w:t xml:space="preserve">• **$42,500,000** outstanding principal, as of that date;</w:t>
      </w:r>
    </w:p>
    <w:p>
      <w:pPr>
        <w:ind w:left="360" w:hanging="180"/>
      </w:pPr>
      <w:r>
        <w:rPr>
          <w:sz w:val="20"/>
          <w:szCs w:val="20"/>
        </w:rPr>
        <w:t xml:space="preserve">• plus accrued and unpaid interest; and</w:t>
      </w:r>
    </w:p>
    <w:p>
      <w:pPr>
        <w:ind w:left="360" w:hanging="180"/>
      </w:pPr>
      <w:r>
        <w:rPr>
          <w:sz w:val="20"/>
          <w:szCs w:val="20"/>
        </w:rPr>
        <w:t xml:space="preserve">• plus any other amounts then due.</w:t>
      </w:r>
    </w:p>
    <w:p>
      <w:pPr>
        <w:spacing w:after="120" w:line="276" w:lineRule="auto"/>
      </w:pPr>
      <w:r>
        <w:rPr>
          <w:sz w:val="20"/>
          <w:szCs w:val="20"/>
        </w:rPr>
        <w:t xml:space="preserve">The actual amount at the transaction date will be the full outstanding principal balance at that time.</w:t>
      </w:r>
    </w:p>
    <w:p>
      <w:pPr>
        <w:pStyle w:val="Heading3"/>
      </w:pPr>
      <w:r>
        <w:rPr>
          <w:b/>
          <w:sz w:val="21"/>
          <w:szCs w:val="21"/>
        </w:rPr>
        <w:t xml:space="preserve">No express Change-of-Control cure period</w:t>
      </w:r>
    </w:p>
    <w:p>
      <w:pPr>
        <w:spacing w:after="120" w:line="276" w:lineRule="auto"/>
      </w:pPr>
      <w:r>
        <w:rPr>
          <w:sz w:val="20"/>
          <w:szCs w:val="20"/>
        </w:rPr>
        <w:t xml:space="preserve">The agreement provides:</w:t>
      </w:r>
    </w:p>
    <w:p>
      <w:pPr>
        <w:ind w:left="360" w:hanging="180"/>
      </w:pPr>
      <w:r>
        <w:rPr>
          <w:sz w:val="20"/>
          <w:szCs w:val="20"/>
        </w:rPr>
        <w:t xml:space="preserve">• up to **5 Business Days** for notice after awareness; and</w:t>
      </w:r>
    </w:p>
    <w:p>
      <w:pPr>
        <w:ind w:left="360" w:hanging="180"/>
      </w:pPr>
      <w:r>
        <w:rPr>
          <w:sz w:val="20"/>
          <w:szCs w:val="20"/>
        </w:rPr>
        <w:t xml:space="preserve">• **30 days after the Change of Control** to make the mandatory prepayment.</w:t>
      </w:r>
    </w:p>
    <w:p>
      <w:pPr>
        <w:spacing w:after="120" w:line="276" w:lineRule="auto"/>
      </w:pPr>
      <w:r>
        <w:rPr>
          <w:sz w:val="20"/>
          <w:szCs w:val="20"/>
        </w:rPr>
        <w:t xml:space="preserve">It does not provide a separate cure period for the Change of Control itself or for failure to complete the required prepayment.</w:t>
      </w:r>
    </w:p>
    <w:p>
      <w:pPr>
        <w:pStyle w:val="Heading3"/>
      </w:pPr>
      <w:r>
        <w:rPr>
          <w:b/>
          <w:sz w:val="21"/>
          <w:szCs w:val="21"/>
        </w:rPr>
        <w:t xml:space="preserve">Nonpayment Event of Default</w:t>
      </w:r>
    </w:p>
    <w:p>
      <w:pPr>
        <w:spacing w:after="120" w:line="276" w:lineRule="auto"/>
      </w:pPr>
      <w:r>
        <w:rPr>
          <w:sz w:val="20"/>
          <w:szCs w:val="20"/>
        </w:rPr>
        <w:t xml:space="preserve">Failure to pay principal when due—including upon mandatory prepayment—constitutes an Event of Default immediately upon failure to pay.</w:t>
      </w:r>
    </w:p>
    <w:p>
      <w:pPr>
        <w:ind w:left="360" w:hanging="180"/>
      </w:pPr>
      <w:r>
        <w:rPr>
          <w:sz w:val="20"/>
          <w:szCs w:val="20"/>
        </w:rPr>
        <w:t xml:space="preserve">• **§8.01(a)(i)**.</w:t>
      </w:r>
    </w:p>
    <w:p>
      <w:pPr>
        <w:spacing w:after="120" w:line="276" w:lineRule="auto"/>
      </w:pPr>
      <w:r>
        <w:rPr>
          <w:sz w:val="20"/>
          <w:szCs w:val="20"/>
        </w:rPr>
        <w:t xml:space="preserve">Interest, Commitment Fees and other amounts have a **3 Business Day** payment grace period, but the provision does not provide that grace period for principal.</w:t>
      </w:r>
    </w:p>
    <w:p>
      <w:pPr>
        <w:ind w:left="360" w:hanging="180"/>
      </w:pPr>
      <w:r>
        <w:rPr>
          <w:sz w:val="20"/>
          <w:szCs w:val="20"/>
        </w:rPr>
        <w:t xml:space="preserve">• **§8.01(a)(ii)**.</w:t>
      </w:r>
    </w:p>
    <w:p>
      <w:pPr>
        <w:pStyle w:val="Heading3"/>
      </w:pPr>
      <w:r>
        <w:rPr>
          <w:b/>
          <w:sz w:val="21"/>
          <w:szCs w:val="21"/>
        </w:rPr>
        <w:t xml:space="preserve">Acceleration</w:t>
      </w:r>
    </w:p>
    <w:p>
      <w:pPr>
        <w:spacing w:after="120" w:line="276" w:lineRule="auto"/>
      </w:pPr>
      <w:r>
        <w:rPr>
          <w:sz w:val="20"/>
          <w:szCs w:val="20"/>
        </w:rPr>
        <w:t xml:space="preserve">Upon any Event of Default, the Administrative Agent may, and upon written direction of Required Lenders shall, by written notice:</w:t>
      </w:r>
    </w:p>
    <w:p>
      <w:pPr>
        <w:ind w:left="360" w:hanging="180"/>
      </w:pPr>
      <w:r>
        <w:rPr>
          <w:sz w:val="20"/>
          <w:szCs w:val="20"/>
        </w:rPr>
        <w:t xml:space="preserve">1. terminate all Revolving Credit Commitments; and</w:t>
      </w:r>
    </w:p>
    <w:p>
      <w:pPr>
        <w:ind w:left="360" w:hanging="180"/>
      </w:pPr>
      <w:r>
        <w:rPr>
          <w:sz w:val="20"/>
          <w:szCs w:val="20"/>
        </w:rPr>
        <w:t xml:space="preserve">2. declare all Obligations immediately due and payable.</w:t>
      </w:r>
    </w:p>
    <w:p>
      <w:pPr>
        <w:ind w:left="360" w:hanging="180"/>
      </w:pPr>
      <w:r>
        <w:rPr>
          <w:sz w:val="20"/>
          <w:szCs w:val="20"/>
        </w:rPr>
        <w:t xml:space="preserve">• **§8.02(a)**.</w:t>
      </w:r>
    </w:p>
    <w:p>
      <w:pPr>
        <w:spacing w:after="120" w:line="276" w:lineRule="auto"/>
      </w:pPr>
      <w:r>
        <w:rPr>
          <w:sz w:val="20"/>
          <w:szCs w:val="20"/>
        </w:rPr>
        <w:t xml:space="preserve">For a Bankruptcy Event of Default, acceleration and termination are automatic without notice or declaration.</w:t>
      </w:r>
    </w:p>
    <w:p>
      <w:pPr>
        <w:ind w:left="360" w:hanging="180"/>
      </w:pPr>
      <w:r>
        <w:rPr>
          <w:sz w:val="20"/>
          <w:szCs w:val="20"/>
        </w:rPr>
        <w:t xml:space="preserve">• **§8.02(b)**.</w:t>
      </w:r>
    </w:p>
    <w:p>
      <w:pPr>
        <w:spacing w:after="120" w:line="276" w:lineRule="auto"/>
      </w:pPr>
      <w:r>
        <w:rPr>
          <w:sz w:val="20"/>
          <w:szCs w:val="20"/>
        </w:rPr>
        <w:t xml:space="preserve">Other remedies include:</w:t>
      </w:r>
    </w:p>
    <w:p>
      <w:pPr>
        <w:ind w:left="360" w:hanging="180"/>
      </w:pPr>
      <w:r>
        <w:rPr>
          <w:sz w:val="20"/>
          <w:szCs w:val="20"/>
        </w:rPr>
        <w:t xml:space="preserve">• enforcement of Loan Document rights;</w:t>
      </w:r>
    </w:p>
    <w:p>
      <w:pPr>
        <w:ind w:left="360" w:hanging="180"/>
      </w:pPr>
      <w:r>
        <w:rPr>
          <w:sz w:val="20"/>
          <w:szCs w:val="20"/>
        </w:rPr>
        <w:t xml:space="preserve">• equitable or legal proceedings;</w:t>
      </w:r>
    </w:p>
    <w:p>
      <w:pPr>
        <w:ind w:left="360" w:hanging="180"/>
      </w:pPr>
      <w:r>
        <w:rPr>
          <w:sz w:val="20"/>
          <w:szCs w:val="20"/>
        </w:rPr>
        <w:t xml:space="preserve">• setoff against deposits and other obligations;</w:t>
      </w:r>
    </w:p>
    <w:p>
      <w:pPr>
        <w:ind w:left="360" w:hanging="180"/>
      </w:pPr>
      <w:r>
        <w:rPr>
          <w:sz w:val="20"/>
          <w:szCs w:val="20"/>
        </w:rPr>
        <w:t xml:space="preserve">• all cumulative remedies available under law.</w:t>
      </w:r>
    </w:p>
    <w:p>
      <w:pPr>
        <w:ind w:left="360" w:hanging="180"/>
      </w:pPr>
      <w:r>
        <w:rPr>
          <w:sz w:val="20"/>
          <w:szCs w:val="20"/>
        </w:rPr>
        <w:t xml:space="preserve">• **§8.02(c)-(d)**.</w:t>
      </w:r>
    </w:p>
    <w:p>
      <w:pPr>
        <w:pStyle w:val="Heading3"/>
      </w:pPr>
      <w:r>
        <w:rPr>
          <w:b/>
          <w:sz w:val="21"/>
          <w:szCs w:val="21"/>
        </w:rPr>
        <w:t xml:space="preserve">Default interest</w:t>
      </w:r>
    </w:p>
    <w:p>
      <w:pPr>
        <w:spacing w:after="120" w:line="276" w:lineRule="auto"/>
      </w:pPr>
      <w:r>
        <w:rPr>
          <w:sz w:val="20"/>
          <w:szCs w:val="20"/>
        </w:rPr>
        <w:t xml:space="preserve">During an Event of Default, all Obligations bear interest at the otherwise applicable rate plus an additional **2.00%**, payable on demand.</w:t>
      </w:r>
    </w:p>
    <w:p>
      <w:pPr>
        <w:ind w:left="360" w:hanging="180"/>
      </w:pPr>
      <w:r>
        <w:rPr>
          <w:sz w:val="20"/>
          <w:szCs w:val="20"/>
        </w:rPr>
        <w:t xml:space="preserve">• **§2.03(d)**.</w:t>
      </w:r>
    </w:p>
    <w:p>
      <w:pPr>
        <w:spacing w:after="120" w:line="276" w:lineRule="auto"/>
      </w:pPr>
      <w:r>
        <w:rPr>
          <w:sz w:val="20"/>
          <w:szCs w:val="20"/>
        </w:rPr>
        <w:t xml:space="preserve">---</w:t>
      </w:r>
    </w:p>
    <w:p>
      <w:pPr>
        <w:pStyle w:val="Heading2"/>
      </w:pPr>
      <w:r>
        <w:rPr>
          <w:b/>
          <w:sz w:val="24"/>
          <w:szCs w:val="24"/>
        </w:rPr>
        <w:t xml:space="preserve">10. Change-of-Control-related Event of Default provisions</w:t>
      </w:r>
    </w:p>
    <w:p>
      <w:pPr>
        <w:pStyle w:val="Heading3"/>
      </w:pPr>
      <w:r>
        <w:rPr>
          <w:b/>
          <w:sz w:val="21"/>
          <w:szCs w:val="21"/>
        </w:rPr>
        <w:t xml:space="preserve">Direct Change in Control Event of Default</w:t>
      </w:r>
    </w:p>
    <w:p>
      <w:pPr>
        <w:spacing w:after="120" w:line="276" w:lineRule="auto"/>
      </w:pPr>
      <w:r>
        <w:rPr>
          <w:sz w:val="20"/>
          <w:szCs w:val="20"/>
        </w:rPr>
        <w:t xml:space="preserve">The §8.01(j) Change in Control is itself an Event of Default. No express notice or cure period applies to the occurrence of the Change in Control.</w:t>
      </w:r>
    </w:p>
    <w:p>
      <w:pPr>
        <w:ind w:left="360" w:hanging="180"/>
      </w:pPr>
      <w:r>
        <w:rPr>
          <w:sz w:val="20"/>
          <w:szCs w:val="20"/>
        </w:rPr>
        <w:t xml:space="preserve">• **§8.01(j)**.</w:t>
      </w:r>
    </w:p>
    <w:p>
      <w:pPr>
        <w:ind w:left="360" w:hanging="180"/>
      </w:pPr>
      <w:r>
        <w:rPr>
          <w:sz w:val="20"/>
          <w:szCs w:val="20"/>
        </w:rPr>
        <w:t xml:space="preserve">• Article VI defaults have no grace or cure period, although §8.01(j) is separately stated as an Event of Default.</w:t>
      </w:r>
    </w:p>
    <w:p>
      <w:pPr>
        <w:ind w:left="360" w:hanging="180"/>
      </w:pPr>
      <w:r>
        <w:rPr>
          <w:sz w:val="20"/>
          <w:szCs w:val="20"/>
        </w:rPr>
        <w:t xml:space="preserve">• **§8.01(d)**.</w:t>
      </w:r>
    </w:p>
    <w:p>
      <w:pPr>
        <w:pStyle w:val="Heading3"/>
      </w:pPr>
      <w:r>
        <w:rPr>
          <w:b/>
          <w:sz w:val="21"/>
          <w:szCs w:val="21"/>
        </w:rPr>
        <w:t xml:space="preserve">Negative covenant defaults</w:t>
      </w:r>
    </w:p>
    <w:p>
      <w:pPr>
        <w:spacing w:after="120" w:line="276" w:lineRule="auto"/>
      </w:pPr>
      <w:r>
        <w:rPr>
          <w:sz w:val="20"/>
          <w:szCs w:val="20"/>
        </w:rPr>
        <w:t xml:space="preserve">Any breach of Article VI, including the fundamental-change and disposition restrictions, is an Event of Default with **no grace or cure period**.</w:t>
      </w:r>
    </w:p>
    <w:p>
      <w:pPr>
        <w:ind w:left="360" w:hanging="180"/>
      </w:pPr>
      <w:r>
        <w:rPr>
          <w:sz w:val="20"/>
          <w:szCs w:val="20"/>
        </w:rPr>
        <w:t xml:space="preserve">• **§8.01(d)**.</w:t>
      </w:r>
    </w:p>
    <w:p>
      <w:pPr>
        <w:pStyle w:val="Heading3"/>
      </w:pPr>
      <w:r>
        <w:rPr>
          <w:b/>
          <w:sz w:val="21"/>
          <w:szCs w:val="21"/>
        </w:rPr>
        <w:t xml:space="preserve">Reporting covenant cure</w:t>
      </w:r>
    </w:p>
    <w:p>
      <w:pPr>
        <w:spacing w:after="120" w:line="276" w:lineRule="auto"/>
      </w:pPr>
      <w:r>
        <w:rPr>
          <w:sz w:val="20"/>
          <w:szCs w:val="20"/>
        </w:rPr>
        <w:t xml:space="preserve">Failure to comply with §5.01 or §5.02 becomes an Event of Default if unremedied for **30 days after written notice** from the Administrative Agent or any Lender.</w:t>
      </w:r>
    </w:p>
    <w:p>
      <w:pPr>
        <w:ind w:left="360" w:hanging="180"/>
      </w:pPr>
      <w:r>
        <w:rPr>
          <w:sz w:val="20"/>
          <w:szCs w:val="20"/>
        </w:rPr>
        <w:t xml:space="preserve">• **§8.01(c)**.</w:t>
      </w:r>
    </w:p>
    <w:p>
      <w:pPr>
        <w:pStyle w:val="Heading3"/>
      </w:pPr>
      <w:r>
        <w:rPr>
          <w:b/>
          <w:sz w:val="21"/>
          <w:szCs w:val="21"/>
        </w:rPr>
        <w:t xml:space="preserve">Financial covenant cure</w:t>
      </w:r>
    </w:p>
    <w:p>
      <w:pPr>
        <w:spacing w:after="120" w:line="276" w:lineRule="auto"/>
      </w:pPr>
      <w:r>
        <w:rPr>
          <w:sz w:val="20"/>
          <w:szCs w:val="20"/>
        </w:rPr>
        <w:t xml:space="preserve">Failure to comply with either financial covenant becomes an Event of Default if unremedied for **10 Business Days** after the earlier of:</w:t>
      </w:r>
    </w:p>
    <w:p>
      <w:pPr>
        <w:ind w:left="360" w:hanging="180"/>
      </w:pPr>
      <w:r>
        <w:rPr>
          <w:sz w:val="20"/>
          <w:szCs w:val="20"/>
        </w:rPr>
        <w:t xml:space="preserve">• written notice from the Administrative Agent; or</w:t>
      </w:r>
    </w:p>
    <w:p>
      <w:pPr>
        <w:ind w:left="360" w:hanging="180"/>
      </w:pPr>
      <w:r>
        <w:rPr>
          <w:sz w:val="20"/>
          <w:szCs w:val="20"/>
        </w:rPr>
        <w:t xml:space="preserve">• the date a Responsible Officer first becomes aware of the failure.</w:t>
      </w:r>
    </w:p>
    <w:p>
      <w:pPr>
        <w:ind w:left="360" w:hanging="180"/>
      </w:pPr>
      <w:r>
        <w:rPr>
          <w:sz w:val="20"/>
          <w:szCs w:val="20"/>
        </w:rPr>
        <w:t xml:space="preserve">• **§8.01(e)**.</w:t>
      </w:r>
    </w:p>
    <w:p>
      <w:pPr>
        <w:spacing w:after="120" w:line="276" w:lineRule="auto"/>
      </w:pPr>
      <w:r>
        <w:rPr>
          <w:sz w:val="20"/>
          <w:szCs w:val="20"/>
        </w:rPr>
        <w:t xml:space="preserve">These cure periods do not expressly apply to:</w:t>
      </w:r>
    </w:p>
    <w:p>
      <w:pPr>
        <w:ind w:left="360" w:hanging="180"/>
      </w:pPr>
      <w:r>
        <w:rPr>
          <w:sz w:val="20"/>
          <w:szCs w:val="20"/>
        </w:rPr>
        <w:t xml:space="preserve">• a Change of Control;</w:t>
      </w:r>
    </w:p>
    <w:p>
      <w:pPr>
        <w:ind w:left="360" w:hanging="180"/>
      </w:pPr>
      <w:r>
        <w:rPr>
          <w:sz w:val="20"/>
          <w:szCs w:val="20"/>
        </w:rPr>
        <w:t xml:space="preserve">• a Change in Control;</w:t>
      </w:r>
    </w:p>
    <w:p>
      <w:pPr>
        <w:ind w:left="360" w:hanging="180"/>
      </w:pPr>
      <w:r>
        <w:rPr>
          <w:sz w:val="20"/>
          <w:szCs w:val="20"/>
        </w:rPr>
        <w:t xml:space="preserve">• a prohibited merger;</w:t>
      </w:r>
    </w:p>
    <w:p>
      <w:pPr>
        <w:ind w:left="360" w:hanging="180"/>
      </w:pPr>
      <w:r>
        <w:rPr>
          <w:sz w:val="20"/>
          <w:szCs w:val="20"/>
        </w:rPr>
        <w:t xml:space="preserve">• a prohibited disposition; or</w:t>
      </w:r>
    </w:p>
    <w:p>
      <w:pPr>
        <w:ind w:left="360" w:hanging="180"/>
      </w:pPr>
      <w:r>
        <w:rPr>
          <w:sz w:val="20"/>
          <w:szCs w:val="20"/>
        </w:rPr>
        <w:t xml:space="preserve">• failure to pay mandatory principal.</w:t>
      </w:r>
    </w:p>
    <w:p>
      <w:pPr>
        <w:spacing w:after="120" w:line="276" w:lineRule="auto"/>
      </w:pPr>
      <w:r>
        <w:rPr>
          <w:sz w:val="20"/>
          <w:szCs w:val="20"/>
        </w:rPr>
        <w:t xml:space="preserve">---</w:t>
      </w:r>
    </w:p>
    <w:p>
      <w:pPr>
        <w:pStyle w:val="Heading2"/>
      </w:pPr>
      <w:r>
        <w:rPr>
          <w:b/>
          <w:sz w:val="24"/>
          <w:szCs w:val="24"/>
        </w:rPr>
        <w:t xml:space="preserve">11. Assignments, transfers, successors and lender consent</w:t>
      </w:r>
    </w:p>
    <w:p>
      <w:pPr>
        <w:pStyle w:val="Heading3"/>
      </w:pPr>
      <w:r>
        <w:rPr>
          <w:b/>
          <w:sz w:val="21"/>
          <w:szCs w:val="21"/>
        </w:rPr>
        <w:t xml:space="preserve">Borrower assignment</w:t>
      </w:r>
    </w:p>
    <w:p>
      <w:pPr>
        <w:spacing w:after="120" w:line="276" w:lineRule="auto"/>
      </w:pPr>
      <w:r>
        <w:rPr>
          <w:sz w:val="20"/>
          <w:szCs w:val="20"/>
        </w:rPr>
        <w:t xml:space="preserve">The Borrower may not assign or otherwise transfer any rights or obligations under the agreement without the prior written consent of **all Lenders**.</w:t>
      </w:r>
    </w:p>
    <w:p>
      <w:pPr>
        <w:ind w:left="360" w:hanging="180"/>
      </w:pPr>
      <w:r>
        <w:rPr>
          <w:sz w:val="20"/>
          <w:szCs w:val="20"/>
        </w:rPr>
        <w:t xml:space="preserve">• **§10.05**.</w:t>
      </w:r>
    </w:p>
    <w:p>
      <w:pPr>
        <w:spacing w:after="120" w:line="276" w:lineRule="auto"/>
      </w:pPr>
      <w:r>
        <w:rPr>
          <w:sz w:val="20"/>
          <w:szCs w:val="20"/>
        </w:rPr>
        <w:t xml:space="preserve">An acquisition, merger or change in legal obligor therefore cannot transfer the Borrower’s position under the facility without unanimous lender consent, unless the structure clearly remains within the permitted surviving-company provisions and does not otherwise violate the agreement.</w:t>
      </w:r>
    </w:p>
    <w:p>
      <w:pPr>
        <w:pStyle w:val="Heading3"/>
      </w:pPr>
      <w:r>
        <w:rPr>
          <w:b/>
          <w:sz w:val="21"/>
          <w:szCs w:val="21"/>
        </w:rPr>
        <w:t xml:space="preserve">Lender assignments</w:t>
      </w:r>
    </w:p>
    <w:p>
      <w:pPr>
        <w:spacing w:after="120" w:line="276" w:lineRule="auto"/>
      </w:pPr>
      <w:r>
        <w:rPr>
          <w:sz w:val="20"/>
          <w:szCs w:val="20"/>
        </w:rPr>
        <w:t xml:space="preserve">A Lender may assign all or part of its rights and obligations to an **Eligible Assignee**, subject to:</w:t>
      </w:r>
    </w:p>
    <w:p>
      <w:pPr>
        <w:ind w:left="360" w:hanging="180"/>
      </w:pPr>
      <w:r>
        <w:rPr>
          <w:sz w:val="20"/>
          <w:szCs w:val="20"/>
        </w:rPr>
        <w:t xml:space="preserve">1. written consent of the Administrative Agent, not to be unreasonably withheld or delayed; and</w:t>
      </w:r>
    </w:p>
    <w:p>
      <w:pPr>
        <w:ind w:left="360" w:hanging="180"/>
      </w:pPr>
      <w:r>
        <w:rPr>
          <w:sz w:val="20"/>
          <w:szCs w:val="20"/>
        </w:rPr>
        <w:t xml:space="preserve">2. while no Event of Default is continuing, written consent of the Borrower, not to be unreasonably withheld or delayed.</w:t>
      </w:r>
    </w:p>
    <w:p>
      <w:pPr>
        <w:spacing w:after="120" w:line="276" w:lineRule="auto"/>
      </w:pPr>
      <w:r>
        <w:rPr>
          <w:sz w:val="20"/>
          <w:szCs w:val="20"/>
        </w:rPr>
        <w:t xml:space="preserve">The Borrower is deemed to consent unless it objects by written notice to the Administrative Agent within **10 Business Days** after receiving notice of the assignment.</w:t>
      </w:r>
    </w:p>
    <w:p>
      <w:pPr>
        <w:spacing w:after="120" w:line="276" w:lineRule="auto"/>
      </w:pPr>
      <w:r>
        <w:rPr>
          <w:sz w:val="20"/>
          <w:szCs w:val="20"/>
        </w:rPr>
        <w:t xml:space="preserve">Minimum assignment:</w:t>
      </w:r>
    </w:p>
    <w:p>
      <w:pPr>
        <w:ind w:left="360" w:hanging="180"/>
      </w:pPr>
      <w:r>
        <w:rPr>
          <w:sz w:val="20"/>
          <w:szCs w:val="20"/>
        </w:rPr>
        <w:t xml:space="preserve">• **$5,000,000**, unless the Lender transfers its entire remaining Commitment.</w:t>
      </w:r>
    </w:p>
    <w:p>
      <w:pPr>
        <w:ind w:left="360" w:hanging="180"/>
      </w:pPr>
      <w:r>
        <w:rPr>
          <w:sz w:val="20"/>
          <w:szCs w:val="20"/>
        </w:rPr>
        <w:t xml:space="preserve">• **§1.01 (“Eligible Assignee”)**; **§10.05**.</w:t>
      </w:r>
    </w:p>
    <w:p>
      <w:pPr>
        <w:pStyle w:val="Heading3"/>
      </w:pPr>
      <w:r>
        <w:rPr>
          <w:b/>
          <w:sz w:val="21"/>
          <w:szCs w:val="21"/>
        </w:rPr>
        <w:t xml:space="preserve">Successors</w:t>
      </w:r>
    </w:p>
    <w:p>
      <w:pPr>
        <w:spacing w:after="120" w:line="276" w:lineRule="auto"/>
      </w:pPr>
      <w:r>
        <w:rPr>
          <w:sz w:val="20"/>
          <w:szCs w:val="20"/>
        </w:rPr>
        <w:t xml:space="preserve">The agreement binds and benefits the Borrower, Administrative Agent, Lenders and their respective successors and permitted assigns.</w:t>
      </w:r>
    </w:p>
    <w:p>
      <w:pPr>
        <w:ind w:left="360" w:hanging="180"/>
      </w:pPr>
      <w:r>
        <w:rPr>
          <w:sz w:val="20"/>
          <w:szCs w:val="20"/>
        </w:rPr>
        <w:t xml:space="preserve">• **§10.05**.</w:t>
      </w:r>
    </w:p>
    <w:p>
      <w:pPr>
        <w:spacing w:after="120" w:line="276" w:lineRule="auto"/>
      </w:pPr>
      <w:r>
        <w:rPr>
          <w:sz w:val="20"/>
          <w:szCs w:val="20"/>
        </w:rPr>
        <w:t xml:space="preserve">The definition of Borrower includes successors and permitted assigns.</w:t>
      </w:r>
    </w:p>
    <w:p>
      <w:pPr>
        <w:ind w:left="360" w:hanging="180"/>
      </w:pPr>
      <w:r>
        <w:rPr>
          <w:sz w:val="20"/>
          <w:szCs w:val="20"/>
        </w:rPr>
        <w:t xml:space="preserve">• **§1.01 (“Borrower”)**.</w:t>
      </w:r>
    </w:p>
    <w:p>
      <w:pPr>
        <w:pStyle w:val="Heading3"/>
      </w:pPr>
      <w:r>
        <w:rPr>
          <w:b/>
          <w:sz w:val="21"/>
          <w:szCs w:val="21"/>
        </w:rPr>
        <w:t xml:space="preserve">Administrative Agent successor</w:t>
      </w:r>
    </w:p>
    <w:p>
      <w:pPr>
        <w:spacing w:after="120" w:line="276" w:lineRule="auto"/>
      </w:pPr>
      <w:r>
        <w:rPr>
          <w:sz w:val="20"/>
          <w:szCs w:val="20"/>
        </w:rPr>
        <w:t xml:space="preserve">The Administrative Agent may resign upon **30 days’ prior written notice**. Required Lenders appoint the successor. If no successor is appointed and accepts within **30 days** after notice, the retiring Administrative Agent may appoint a successor bank or financial institution with:</w:t>
      </w:r>
    </w:p>
    <w:p>
      <w:pPr>
        <w:ind w:left="360" w:hanging="180"/>
      </w:pPr>
      <w:r>
        <w:rPr>
          <w:sz w:val="20"/>
          <w:szCs w:val="20"/>
        </w:rPr>
        <w:t xml:space="preserve">• a U.S. office; and</w:t>
      </w:r>
    </w:p>
    <w:p>
      <w:pPr>
        <w:ind w:left="360" w:hanging="180"/>
      </w:pPr>
      <w:r>
        <w:rPr>
          <w:sz w:val="20"/>
          <w:szCs w:val="20"/>
        </w:rPr>
        <w:t xml:space="preserve">• combined capital and surplus of at least **$500,000,000**.</w:t>
      </w:r>
    </w:p>
    <w:p>
      <w:pPr>
        <w:ind w:left="360" w:hanging="180"/>
      </w:pPr>
      <w:r>
        <w:rPr>
          <w:sz w:val="20"/>
          <w:szCs w:val="20"/>
        </w:rPr>
        <w:t xml:space="preserve">• **§9.05**.</w:t>
      </w:r>
    </w:p>
    <w:p>
      <w:pPr>
        <w:pStyle w:val="Heading3"/>
      </w:pPr>
      <w:r>
        <w:rPr>
          <w:b/>
          <w:sz w:val="21"/>
          <w:szCs w:val="21"/>
        </w:rPr>
        <w:t xml:space="preserve">Participation and confidentiality</w:t>
      </w:r>
    </w:p>
    <w:p>
      <w:pPr>
        <w:spacing w:after="120" w:line="276" w:lineRule="auto"/>
      </w:pPr>
      <w:r>
        <w:rPr>
          <w:sz w:val="20"/>
          <w:szCs w:val="20"/>
        </w:rPr>
        <w:t xml:space="preserve">The agreement expressly permits disclosure of Borrower information to assignees, participants and prospective assignees or participants, provided they agree to confidentiality obligations.</w:t>
      </w:r>
    </w:p>
    <w:p>
      <w:pPr>
        <w:ind w:left="360" w:hanging="180"/>
      </w:pPr>
      <w:r>
        <w:rPr>
          <w:sz w:val="20"/>
          <w:szCs w:val="20"/>
        </w:rPr>
        <w:t xml:space="preserve">• **§10.11(d)**.</w:t>
      </w:r>
    </w:p>
    <w:p>
      <w:pPr>
        <w:spacing w:after="120" w:line="276" w:lineRule="auto"/>
      </w:pPr>
      <w:r>
        <w:rPr>
          <w:sz w:val="20"/>
          <w:szCs w:val="20"/>
        </w:rPr>
        <w:t xml:space="preserve">---</w:t>
      </w:r>
    </w:p>
    <w:p>
      <w:pPr>
        <w:pStyle w:val="Heading2"/>
      </w:pPr>
      <w:r>
        <w:rPr>
          <w:b/>
          <w:sz w:val="24"/>
          <w:szCs w:val="24"/>
        </w:rPr>
        <w:t xml:space="preserve">12. Amendments, waivers and lender consent requirements</w:t>
      </w:r>
    </w:p>
    <w:p>
      <w:pPr>
        <w:spacing w:after="120" w:line="276" w:lineRule="auto"/>
      </w:pPr>
      <w:r>
        <w:rPr>
          <w:sz w:val="20"/>
          <w:szCs w:val="20"/>
        </w:rPr>
        <w:t xml:space="preserve">General rule:</w:t>
      </w:r>
    </w:p>
    <w:p>
      <w:pPr>
        <w:ind w:left="360" w:hanging="180"/>
      </w:pPr>
      <w:r>
        <w:rPr>
          <w:sz w:val="20"/>
          <w:szCs w:val="20"/>
        </w:rPr>
        <w:t xml:space="preserve">• Amendments, waivers, consents and modifications require writing signed by the Borrower and Required Lenders, or the Administrative Agent with Required Lender consent.</w:t>
      </w:r>
    </w:p>
    <w:p>
      <w:pPr>
        <w:ind w:left="360" w:hanging="180"/>
      </w:pPr>
      <w:r>
        <w:rPr>
          <w:sz w:val="20"/>
          <w:szCs w:val="20"/>
        </w:rPr>
        <w:t xml:space="preserve">• Each waiver is limited to the specific instance and purpose given.</w:t>
      </w:r>
    </w:p>
    <w:p>
      <w:pPr>
        <w:ind w:left="360" w:hanging="180"/>
      </w:pPr>
      <w:r>
        <w:rPr>
          <w:sz w:val="20"/>
          <w:szCs w:val="20"/>
        </w:rPr>
        <w:t xml:space="preserve">• **§10.02**.</w:t>
      </w:r>
    </w:p>
    <w:p>
      <w:pPr>
        <w:spacing w:after="120" w:line="276" w:lineRule="auto"/>
      </w:pPr>
      <w:r>
        <w:rPr>
          <w:sz w:val="20"/>
          <w:szCs w:val="20"/>
        </w:rPr>
        <w:t xml:space="preserve">Unanimous lender consent is specifically required to:</w:t>
      </w:r>
    </w:p>
    <w:p>
      <w:pPr>
        <w:ind w:left="360" w:hanging="180"/>
      </w:pPr>
      <w:r>
        <w:rPr>
          <w:sz w:val="20"/>
          <w:szCs w:val="20"/>
        </w:rPr>
        <w:t xml:space="preserve">• amend the definition of **“Change of Control”** in §1.01;</w:t>
      </w:r>
    </w:p>
    <w:p>
      <w:pPr>
        <w:ind w:left="360" w:hanging="180"/>
      </w:pPr>
      <w:r>
        <w:rPr>
          <w:sz w:val="20"/>
          <w:szCs w:val="20"/>
        </w:rPr>
        <w:t xml:space="preserve">• amend the definition of **“Change in Control”** in §8.01(j);</w:t>
      </w:r>
    </w:p>
    <w:p>
      <w:pPr>
        <w:ind w:left="360" w:hanging="180"/>
      </w:pPr>
      <w:r>
        <w:rPr>
          <w:sz w:val="20"/>
          <w:szCs w:val="20"/>
        </w:rPr>
        <w:t xml:space="preserve">• amend the Change of Control mandatory prepayment provision in **§2.09(d)**;</w:t>
      </w:r>
    </w:p>
    <w:p>
      <w:pPr>
        <w:ind w:left="360" w:hanging="180"/>
      </w:pPr>
      <w:r>
        <w:rPr>
          <w:sz w:val="20"/>
          <w:szCs w:val="20"/>
        </w:rPr>
        <w:t xml:space="preserve">• amend the Change in Control Event of Default in **§8.01(j)**;</w:t>
      </w:r>
    </w:p>
    <w:p>
      <w:pPr>
        <w:ind w:left="360" w:hanging="180"/>
      </w:pPr>
      <w:r>
        <w:rPr>
          <w:sz w:val="20"/>
          <w:szCs w:val="20"/>
        </w:rPr>
        <w:t xml:space="preserve">• increase an individual Lender’s commitment;</w:t>
      </w:r>
    </w:p>
    <w:p>
      <w:pPr>
        <w:ind w:left="360" w:hanging="180"/>
      </w:pPr>
      <w:r>
        <w:rPr>
          <w:sz w:val="20"/>
          <w:szCs w:val="20"/>
        </w:rPr>
        <w:t xml:space="preserve">• change Required Lenders voting mechanics;</w:t>
      </w:r>
    </w:p>
    <w:p>
      <w:pPr>
        <w:ind w:left="360" w:hanging="180"/>
      </w:pPr>
      <w:r>
        <w:rPr>
          <w:sz w:val="20"/>
          <w:szCs w:val="20"/>
        </w:rPr>
        <w:t xml:space="preserve">• extend the Maturity Date or certain payment dates;</w:t>
      </w:r>
    </w:p>
    <w:p>
      <w:pPr>
        <w:ind w:left="360" w:hanging="180"/>
      </w:pPr>
      <w:r>
        <w:rPr>
          <w:sz w:val="20"/>
          <w:szCs w:val="20"/>
        </w:rPr>
        <w:t xml:space="preserve">• reduce principal, interest or fees for directly and adversely affected Lenders;</w:t>
      </w:r>
    </w:p>
    <w:p>
      <w:pPr>
        <w:ind w:left="360" w:hanging="180"/>
      </w:pPr>
      <w:r>
        <w:rPr>
          <w:sz w:val="20"/>
          <w:szCs w:val="20"/>
        </w:rPr>
        <w:t xml:space="preserve">• release all or substantially all collateral.</w:t>
      </w:r>
    </w:p>
    <w:p>
      <w:pPr>
        <w:ind w:left="360" w:hanging="180"/>
      </w:pPr>
      <w:r>
        <w:rPr>
          <w:sz w:val="20"/>
          <w:szCs w:val="20"/>
        </w:rPr>
        <w:t xml:space="preserve">• **§10.02(a)-(f)**.</w:t>
      </w:r>
    </w:p>
    <w:p>
      <w:pPr>
        <w:spacing w:after="120" w:line="276" w:lineRule="auto"/>
      </w:pPr>
      <w:r>
        <w:rPr>
          <w:sz w:val="20"/>
          <w:szCs w:val="20"/>
        </w:rPr>
        <w:t xml:space="preserve">The agreement therefore does not permit a Required Lender majority to unilaterally waive or amend the core Change of Control provisions.</w:t>
      </w:r>
    </w:p>
    <w:p>
      <w:pPr>
        <w:spacing w:after="120" w:line="276" w:lineRule="auto"/>
      </w:pPr>
      <w:r>
        <w:rPr>
          <w:sz w:val="20"/>
          <w:szCs w:val="20"/>
        </w:rPr>
        <w:t xml:space="preserve">---</w:t>
      </w:r>
    </w:p>
    <w:p>
      <w:pPr>
        <w:pStyle w:val="Heading2"/>
      </w:pPr>
      <w:r>
        <w:rPr>
          <w:b/>
          <w:sz w:val="24"/>
          <w:szCs w:val="24"/>
        </w:rPr>
        <w:t xml:space="preserve">13. Other permitted transaction provisions relevant to an acquisition</w:t>
      </w:r>
    </w:p>
    <w:p>
      <w:pPr>
        <w:pStyle w:val="Heading3"/>
      </w:pPr>
      <w:r>
        <w:rPr>
          <w:b/>
          <w:sz w:val="21"/>
          <w:szCs w:val="21"/>
        </w:rPr>
        <w:t xml:space="preserve">Permitted Investments</w:t>
      </w:r>
    </w:p>
    <w:p>
      <w:pPr>
        <w:spacing w:after="120" w:line="276" w:lineRule="auto"/>
      </w:pPr>
      <w:r>
        <w:rPr>
          <w:sz w:val="20"/>
          <w:szCs w:val="20"/>
        </w:rPr>
        <w:t xml:space="preserve">Permitted Investments include:</w:t>
      </w:r>
    </w:p>
    <w:p>
      <w:pPr>
        <w:ind w:left="360" w:hanging="180"/>
      </w:pPr>
      <w:r>
        <w:rPr>
          <w:sz w:val="20"/>
          <w:szCs w:val="20"/>
        </w:rPr>
        <w:t xml:space="preserve">• U.S. government obligations;</w:t>
      </w:r>
    </w:p>
    <w:p>
      <w:pPr>
        <w:ind w:left="360" w:hanging="180"/>
      </w:pPr>
      <w:r>
        <w:rPr>
          <w:sz w:val="20"/>
          <w:szCs w:val="20"/>
        </w:rPr>
        <w:t xml:space="preserve">• qualifying certificates of deposit;</w:t>
      </w:r>
    </w:p>
    <w:p>
      <w:pPr>
        <w:ind w:left="360" w:hanging="180"/>
      </w:pPr>
      <w:r>
        <w:rPr>
          <w:sz w:val="20"/>
          <w:szCs w:val="20"/>
        </w:rPr>
        <w:t xml:space="preserve">• qualifying commercial paper; and</w:t>
      </w:r>
    </w:p>
    <w:p>
      <w:pPr>
        <w:ind w:left="360" w:hanging="180"/>
      </w:pPr>
      <w:r>
        <w:rPr>
          <w:sz w:val="20"/>
          <w:szCs w:val="20"/>
        </w:rPr>
        <w:t xml:space="preserve">• investments existing on the Effective Date, including the Borrower’s **55%** Apex-Kenji interest.</w:t>
      </w:r>
    </w:p>
    <w:p>
      <w:pPr>
        <w:ind w:left="360" w:hanging="180"/>
      </w:pPr>
      <w:r>
        <w:rPr>
          <w:sz w:val="20"/>
          <w:szCs w:val="20"/>
        </w:rPr>
        <w:t xml:space="preserve">• **§1.01 (“Permitted Investments”)**.</w:t>
      </w:r>
    </w:p>
    <w:p>
      <w:pPr>
        <w:spacing w:after="120" w:line="276" w:lineRule="auto"/>
      </w:pPr>
      <w:r>
        <w:rPr>
          <w:sz w:val="20"/>
          <w:szCs w:val="20"/>
        </w:rPr>
        <w:t xml:space="preserve">This provision does not authorize a change in the Borrower’s required ownership percentage or override §1.01(b).</w:t>
      </w:r>
    </w:p>
    <w:p>
      <w:pPr>
        <w:pStyle w:val="Heading3"/>
      </w:pPr>
      <w:r>
        <w:rPr>
          <w:b/>
          <w:sz w:val="21"/>
          <w:szCs w:val="21"/>
        </w:rPr>
        <w:t xml:space="preserve">Restricted payments and repurchases</w:t>
      </w:r>
    </w:p>
    <w:p>
      <w:pPr>
        <w:spacing w:after="120" w:line="276" w:lineRule="auto"/>
      </w:pPr>
      <w:r>
        <w:rPr>
          <w:sz w:val="20"/>
          <w:szCs w:val="20"/>
        </w:rPr>
        <w:t xml:space="preserve">Subject to no Default or Event of Default, the Borrower may make:</w:t>
      </w:r>
    </w:p>
    <w:p>
      <w:pPr>
        <w:ind w:left="360" w:hanging="180"/>
      </w:pPr>
      <w:r>
        <w:rPr>
          <w:sz w:val="20"/>
          <w:szCs w:val="20"/>
        </w:rPr>
        <w:t xml:space="preserve">• dividends and distributions up to **$3,000,000** in aggregate per fiscal year; and</w:t>
      </w:r>
    </w:p>
    <w:p>
      <w:pPr>
        <w:ind w:left="360" w:hanging="180"/>
      </w:pPr>
      <w:r>
        <w:rPr>
          <w:sz w:val="20"/>
          <w:szCs w:val="20"/>
        </w:rPr>
        <w:t xml:space="preserve">• share repurchases up to **$2,000,000** in aggregate per fiscal year.</w:t>
      </w:r>
    </w:p>
    <w:p>
      <w:pPr>
        <w:ind w:left="360" w:hanging="180"/>
      </w:pPr>
      <w:r>
        <w:rPr>
          <w:sz w:val="20"/>
          <w:szCs w:val="20"/>
        </w:rPr>
        <w:t xml:space="preserve">• **§6.05**.</w:t>
      </w:r>
    </w:p>
    <w:p>
      <w:pPr>
        <w:spacing w:after="120" w:line="276" w:lineRule="auto"/>
      </w:pPr>
      <w:r>
        <w:rPr>
          <w:sz w:val="20"/>
          <w:szCs w:val="20"/>
        </w:rPr>
        <w:t xml:space="preserve">A transaction funded through dividends, distributions or repurchases must remain within these limits and cannot be used to avoid Change of Control or Event of Default provisions.</w:t>
      </w:r>
    </w:p>
    <w:p>
      <w:pPr>
        <w:pStyle w:val="Heading3"/>
      </w:pPr>
      <w:r>
        <w:rPr>
          <w:b/>
          <w:sz w:val="21"/>
          <w:szCs w:val="21"/>
        </w:rPr>
        <w:t xml:space="preserve">Indebtedness</w:t>
      </w:r>
    </w:p>
    <w:p>
      <w:pPr>
        <w:spacing w:after="120" w:line="276" w:lineRule="auto"/>
      </w:pPr>
      <w:r>
        <w:rPr>
          <w:sz w:val="20"/>
          <w:szCs w:val="20"/>
        </w:rPr>
        <w:t xml:space="preserve">Permitted debt includes:</w:t>
      </w:r>
    </w:p>
    <w:p>
      <w:pPr>
        <w:ind w:left="360" w:hanging="180"/>
      </w:pPr>
      <w:r>
        <w:rPr>
          <w:sz w:val="20"/>
          <w:szCs w:val="20"/>
        </w:rPr>
        <w:t xml:space="preserve">• Loan Document debt;</w:t>
      </w:r>
    </w:p>
    <w:p>
      <w:pPr>
        <w:ind w:left="360" w:hanging="180"/>
      </w:pPr>
      <w:r>
        <w:rPr>
          <w:sz w:val="20"/>
          <w:szCs w:val="20"/>
        </w:rPr>
        <w:t xml:space="preserve">• existing disclosed debt;</w:t>
      </w:r>
    </w:p>
    <w:p>
      <w:pPr>
        <w:ind w:left="360" w:hanging="180"/>
      </w:pPr>
      <w:r>
        <w:rPr>
          <w:sz w:val="20"/>
          <w:szCs w:val="20"/>
        </w:rPr>
        <w:t xml:space="preserve">• purchase-money debt up to **$500,000** aggregate outstanding;</w:t>
      </w:r>
    </w:p>
    <w:p>
      <w:pPr>
        <w:ind w:left="360" w:hanging="180"/>
      </w:pPr>
      <w:r>
        <w:rPr>
          <w:sz w:val="20"/>
          <w:szCs w:val="20"/>
        </w:rPr>
        <w:t xml:space="preserve">• non-speculative interest-rate hedging debt; and</w:t>
      </w:r>
    </w:p>
    <w:p>
      <w:pPr>
        <w:ind w:left="360" w:hanging="180"/>
      </w:pPr>
      <w:r>
        <w:rPr>
          <w:sz w:val="20"/>
          <w:szCs w:val="20"/>
        </w:rPr>
        <w:t xml:space="preserve">• other unsecured debt up to **$500,000** aggregate outstanding.</w:t>
      </w:r>
    </w:p>
    <w:p>
      <w:pPr>
        <w:ind w:left="360" w:hanging="180"/>
      </w:pPr>
      <w:r>
        <w:rPr>
          <w:sz w:val="20"/>
          <w:szCs w:val="20"/>
        </w:rPr>
        <w:t xml:space="preserve">• **§1.01 (“Permitted Indebtedness”)**; **§6.01**.</w:t>
      </w:r>
    </w:p>
    <w:p>
      <w:pPr>
        <w:spacing w:after="120" w:line="276" w:lineRule="auto"/>
      </w:pPr>
      <w:r>
        <w:rPr>
          <w:sz w:val="20"/>
          <w:szCs w:val="20"/>
        </w:rPr>
        <w:t xml:space="preserve">Net cash proceeds from otherwise permitted new debt must be applied 100% to Revolving Loans within **5 Business Days**, unless the debt is permitted under §6.01.</w:t>
      </w:r>
    </w:p>
    <w:p>
      <w:pPr>
        <w:ind w:left="360" w:hanging="180"/>
      </w:pPr>
      <w:r>
        <w:rPr>
          <w:sz w:val="20"/>
          <w:szCs w:val="20"/>
        </w:rPr>
        <w:t xml:space="preserve">• **§2.09(b)**.</w:t>
      </w:r>
    </w:p>
    <w:p>
      <w:pPr>
        <w:pStyle w:val="Heading3"/>
      </w:pPr>
      <w:r>
        <w:rPr>
          <w:b/>
          <w:sz w:val="21"/>
          <w:szCs w:val="21"/>
        </w:rPr>
        <w:t xml:space="preserve">Financial covenants</w:t>
      </w:r>
    </w:p>
    <w:p>
      <w:pPr>
        <w:spacing w:after="120" w:line="276" w:lineRule="auto"/>
      </w:pPr>
      <w:r>
        <w:rPr>
          <w:sz w:val="20"/>
          <w:szCs w:val="20"/>
        </w:rPr>
        <w:t xml:space="preserve">The Borrower must maintain:</w:t>
      </w:r>
    </w:p>
    <w:p>
      <w:pPr>
        <w:ind w:left="360" w:hanging="180"/>
      </w:pPr>
      <w:r>
        <w:rPr>
          <w:sz w:val="20"/>
          <w:szCs w:val="20"/>
        </w:rPr>
        <w:t xml:space="preserve">• Consolidated Leverage Ratio not exceeding **3.50 to 1.00**.</w:t>
      </w:r>
    </w:p>
    <w:p>
      <w:pPr>
        <w:ind w:left="360" w:hanging="180"/>
      </w:pPr>
      <w:r>
        <w:rPr>
          <w:sz w:val="20"/>
          <w:szCs w:val="20"/>
        </w:rPr>
        <w:t xml:space="preserve">• Interest Coverage Ratio of at least **3.00 to 1.00**.</w:t>
      </w:r>
    </w:p>
    <w:p>
      <w:pPr>
        <w:spacing w:after="120" w:line="276" w:lineRule="auto"/>
      </w:pPr>
      <w:r>
        <w:rPr>
          <w:sz w:val="20"/>
          <w:szCs w:val="20"/>
        </w:rPr>
        <w:t xml:space="preserve">Both are tested quarterly.</w:t>
      </w:r>
    </w:p>
    <w:p>
      <w:pPr>
        <w:ind w:left="360" w:hanging="180"/>
      </w:pPr>
      <w:r>
        <w:rPr>
          <w:sz w:val="20"/>
          <w:szCs w:val="20"/>
        </w:rPr>
        <w:t xml:space="preserve">• **§7.01**; **§7.02**.</w:t>
      </w:r>
    </w:p>
    <w:p>
      <w:pPr>
        <w:spacing w:after="120" w:line="276" w:lineRule="auto"/>
      </w:pPr>
      <w:r>
        <w:rPr>
          <w:sz w:val="20"/>
          <w:szCs w:val="20"/>
        </w:rPr>
        <w:t xml:space="preserve">The agreement’s illustration states:</w:t>
      </w:r>
    </w:p>
    <w:p>
      <w:pPr>
        <w:ind w:left="360" w:hanging="180"/>
      </w:pPr>
      <w:r>
        <w:rPr>
          <w:sz w:val="20"/>
          <w:szCs w:val="20"/>
        </w:rPr>
        <w:t xml:space="preserve">• Consolidated Total Debt: approximately **$42,500,000**;</w:t>
      </w:r>
    </w:p>
    <w:p>
      <w:pPr>
        <w:ind w:left="360" w:hanging="180"/>
      </w:pPr>
      <w:r>
        <w:rPr>
          <w:sz w:val="20"/>
          <w:szCs w:val="20"/>
        </w:rPr>
        <w:t xml:space="preserve">• Consolidated EBITDA: approximately **$34,600,000**;</w:t>
      </w:r>
    </w:p>
    <w:p>
      <w:pPr>
        <w:ind w:left="360" w:hanging="180"/>
      </w:pPr>
      <w:r>
        <w:rPr>
          <w:sz w:val="20"/>
          <w:szCs w:val="20"/>
        </w:rPr>
        <w:t xml:space="preserve">• Consolidated Leverage Ratio: approximately **1.23 to 1.00**.</w:t>
      </w:r>
    </w:p>
    <w:p>
      <w:pPr>
        <w:spacing w:after="120" w:line="276" w:lineRule="auto"/>
      </w:pPr>
      <w:r>
        <w:rPr>
          <w:sz w:val="20"/>
          <w:szCs w:val="20"/>
        </w:rPr>
        <w:t xml:space="preserve">An acquisition financed with debt, assumed debt or acquisition-related liabilities must be analyzed for immediate and pro forma covenant compliance. The agreement expressly requires pro forma testing for permitted Borrower mergers under **§6.03(c)(ii)**.</w:t>
      </w:r>
    </w:p>
    <w:p>
      <w:pPr>
        <w:spacing w:after="120" w:line="276" w:lineRule="auto"/>
      </w:pPr>
      <w:r>
        <w:rPr>
          <w:sz w:val="20"/>
          <w:szCs w:val="20"/>
        </w:rPr>
        <w:t xml:space="preserve">---</w:t>
      </w:r>
    </w:p>
    <w:p>
      <w:pPr>
        <w:pStyle w:val="Heading2"/>
      </w:pPr>
      <w:r>
        <w:rPr>
          <w:b/>
          <w:sz w:val="24"/>
          <w:szCs w:val="24"/>
        </w:rPr>
        <w:t xml:space="preserve">14. Risk rating</w:t>
      </w:r>
    </w:p>
    <w:p>
      <w:pPr>
        <w:pStyle w:val="Heading3"/>
      </w:pPr>
      <w:r>
        <w:rPr>
          <w:b/>
          <w:sz w:val="21"/>
          <w:szCs w:val="21"/>
        </w:rPr>
        <w:t xml:space="preserve">Overall rating: **High**</w:t>
      </w:r>
    </w:p>
    <w:p>
      <w:pPr>
        <w:spacing w:after="120" w:line="276" w:lineRule="auto"/>
      </w:pPr>
      <w:r>
        <w:rPr>
          <w:sz w:val="20"/>
          <w:szCs w:val="20"/>
        </w:rPr>
        <w:t xml:space="preserve">#### Principal risks</w:t>
      </w:r>
    </w:p>
    <w:p>
      <w:pPr>
        <w:ind w:left="360" w:hanging="180"/>
      </w:pPr>
      <w:r>
        <w:rPr>
          <w:sz w:val="20"/>
          <w:szCs w:val="20"/>
        </w:rPr>
        <w:t xml:space="preserve">1. **Two separate control tests**</w:t>
      </w:r>
    </w:p>
    <w:p>
      <w:pPr>
        <w:ind w:left="360" w:hanging="180"/>
      </w:pPr>
      <w:r>
        <w:rPr>
          <w:sz w:val="20"/>
          <w:szCs w:val="20"/>
        </w:rPr>
        <w:t xml:space="preserve">• More than **35%** beneficial ownership is an immediate Event of Default under §8.01(j).</w:t>
      </w:r>
    </w:p>
    <w:p>
      <w:pPr>
        <w:ind w:left="360" w:hanging="180"/>
      </w:pPr>
      <w:r>
        <w:rPr>
          <w:sz w:val="20"/>
          <w:szCs w:val="20"/>
        </w:rPr>
        <w:t xml:space="preserve">• More than **50%** is a separate Change of Control under §1.01 with mandatory repayment and automatic commitment termination.</w:t>
      </w:r>
    </w:p>
    <w:p>
      <w:pPr>
        <w:ind w:left="360" w:hanging="180"/>
      </w:pPr>
      <w:r>
        <w:rPr>
          <w:sz w:val="20"/>
          <w:szCs w:val="20"/>
        </w:rPr>
        <w:t xml:space="preserve">2. **Board-control trigger**</w:t>
      </w:r>
    </w:p>
    <w:p>
      <w:pPr>
        <w:ind w:left="360" w:hanging="180"/>
      </w:pPr>
      <w:r>
        <w:rPr>
          <w:sz w:val="20"/>
          <w:szCs w:val="20"/>
        </w:rPr>
        <w:t xml:space="preserve">• A board reconstitution can cause an Event of Default even without a change in equity ownership.</w:t>
      </w:r>
    </w:p>
    <w:p>
      <w:pPr>
        <w:ind w:left="360" w:hanging="180"/>
      </w:pPr>
      <w:r>
        <w:rPr>
          <w:sz w:val="20"/>
          <w:szCs w:val="20"/>
        </w:rPr>
        <w:t xml:space="preserve">3. **Full takeout requirement**</w:t>
      </w:r>
    </w:p>
    <w:p>
      <w:pPr>
        <w:ind w:left="360" w:hanging="180"/>
      </w:pPr>
      <w:r>
        <w:rPr>
          <w:sz w:val="20"/>
          <w:szCs w:val="20"/>
        </w:rPr>
        <w:t xml:space="preserve">• A §1.01 Change of Control requires repayment of **100% of outstanding Revolving Loans**, plus interest and other amounts, within **30 days**.</w:t>
      </w:r>
    </w:p>
    <w:p>
      <w:pPr>
        <w:ind w:left="360" w:hanging="180"/>
      </w:pPr>
      <w:r>
        <w:rPr>
          <w:sz w:val="20"/>
          <w:szCs w:val="20"/>
        </w:rPr>
        <w:t xml:space="preserve">• Commitments automatically terminate.</w:t>
      </w:r>
    </w:p>
    <w:p>
      <w:pPr>
        <w:ind w:left="360" w:hanging="180"/>
      </w:pPr>
      <w:r>
        <w:rPr>
          <w:sz w:val="20"/>
          <w:szCs w:val="20"/>
        </w:rPr>
        <w:t xml:space="preserve">4. **No principal grace period**</w:t>
      </w:r>
    </w:p>
    <w:p>
      <w:pPr>
        <w:ind w:left="360" w:hanging="180"/>
      </w:pPr>
      <w:r>
        <w:rPr>
          <w:sz w:val="20"/>
          <w:szCs w:val="20"/>
        </w:rPr>
        <w:t xml:space="preserve">• Failure to make the mandatory prepayment is an Event of Default under §8.01(a)(i), with no express principal-payment cure period.</w:t>
      </w:r>
    </w:p>
    <w:p>
      <w:pPr>
        <w:ind w:left="360" w:hanging="180"/>
      </w:pPr>
      <w:r>
        <w:rPr>
          <w:sz w:val="20"/>
          <w:szCs w:val="20"/>
        </w:rPr>
        <w:t xml:space="preserve">5. **Tight JV ownership margin**</w:t>
      </w:r>
    </w:p>
    <w:p>
      <w:pPr>
        <w:ind w:left="360" w:hanging="180"/>
      </w:pPr>
      <w:r>
        <w:rPr>
          <w:sz w:val="20"/>
          <w:szCs w:val="20"/>
        </w:rPr>
        <w:t xml:space="preserve">• Current ownership of Apex-Kenji is **55%**, only **4 percentage points above** the required minimum of **51%**.</w:t>
      </w:r>
    </w:p>
    <w:p>
      <w:pPr>
        <w:ind w:left="360" w:hanging="180"/>
      </w:pPr>
      <w:r>
        <w:rPr>
          <w:sz w:val="20"/>
          <w:szCs w:val="20"/>
        </w:rPr>
        <w:t xml:space="preserve">6. **Broad structural restrictions**</w:t>
      </w:r>
    </w:p>
    <w:p>
      <w:pPr>
        <w:ind w:left="360" w:hanging="180"/>
      </w:pPr>
      <w:r>
        <w:rPr>
          <w:sz w:val="20"/>
          <w:szCs w:val="20"/>
        </w:rPr>
        <w:t xml:space="preserve">• Mergers, consolidations, dispositions of Subsidiary Equity Interests, upstream changes and changes in board control all require separate analysis.</w:t>
      </w:r>
    </w:p>
    <w:p>
      <w:pPr>
        <w:ind w:left="360" w:hanging="180"/>
      </w:pPr>
      <w:r>
        <w:rPr>
          <w:sz w:val="20"/>
          <w:szCs w:val="20"/>
        </w:rPr>
        <w:t xml:space="preserve">7. **Unanimous amendment protection**</w:t>
      </w:r>
    </w:p>
    <w:p>
      <w:pPr>
        <w:ind w:left="360" w:hanging="180"/>
      </w:pPr>
      <w:r>
        <w:rPr>
          <w:sz w:val="20"/>
          <w:szCs w:val="20"/>
        </w:rPr>
        <w:t xml:space="preserve">• Each Lender must consent to amend or waive the core Change of Control provisions.</w:t>
      </w:r>
    </w:p>
    <w:p>
      <w:pPr>
        <w:ind w:left="360" w:hanging="180"/>
      </w:pPr>
      <w:r>
        <w:rPr>
          <w:sz w:val="20"/>
          <w:szCs w:val="20"/>
        </w:rPr>
        <w:t xml:space="preserve">• Summit has 60% voting power for ordinary Required Lender matters, but cannot unilaterally amend §1.01, §2.09(d) or §8.01(j).</w:t>
      </w:r>
    </w:p>
    <w:p>
      <w:pPr>
        <w:ind w:left="360" w:hanging="180"/>
      </w:pPr>
      <w:r>
        <w:rPr>
          <w:sz w:val="20"/>
          <w:szCs w:val="20"/>
        </w:rPr>
        <w:t xml:space="preserve">8. **Potential acceleration before the 30-day repayment deadline**</w:t>
      </w:r>
    </w:p>
    <w:p>
      <w:pPr>
        <w:ind w:left="360" w:hanging="180"/>
      </w:pPr>
      <w:r>
        <w:rPr>
          <w:sz w:val="20"/>
          <w:szCs w:val="20"/>
        </w:rPr>
        <w:t xml:space="preserve">• If the transaction also constitutes a §8.01(j) Change in Control or violates Article VI, the Administrative Agent may accelerate all Obligations immediately under §8.02.</w:t>
      </w:r>
    </w:p>
    <w:p>
      <w:pPr>
        <w:ind w:left="360" w:hanging="180"/>
      </w:pPr>
      <w:r>
        <w:rPr>
          <w:sz w:val="20"/>
          <w:szCs w:val="20"/>
        </w:rPr>
        <w:t xml:space="preserve">9. **Documentation ambiguity**</w:t>
      </w:r>
    </w:p>
    <w:p>
      <w:pPr>
        <w:ind w:left="360" w:hanging="180"/>
      </w:pPr>
      <w:r>
        <w:rPr>
          <w:sz w:val="20"/>
          <w:szCs w:val="20"/>
        </w:rPr>
        <w:t xml:space="preserve">• The agreement uses both “Change of Control” and “Change in Control,” with different thresholds and consequences.</w:t>
      </w:r>
    </w:p>
    <w:p>
      <w:pPr>
        <w:ind w:left="360" w:hanging="180"/>
      </w:pPr>
      <w:r>
        <w:rPr>
          <w:sz w:val="20"/>
          <w:szCs w:val="20"/>
        </w:rPr>
        <w:t xml:space="preserve">• Section 5.07(c) refers to both terms, and §6.03 separately preserves both provisions. The transaction documents should not assume that the 30-day Change of Control repayment period applies to the separate 35%/board-composition Event of Default.</w:t>
      </w:r>
    </w:p>
    <w:p>
      <w:pPr>
        <w:spacing w:after="120" w:line="276" w:lineRule="auto"/>
      </w:pPr>
      <w:r>
        <w:rPr>
          <w:sz w:val="20"/>
          <w:szCs w:val="20"/>
        </w:rPr>
        <w:t xml:space="preserve">---</w:t>
      </w:r>
    </w:p>
    <w:p>
      <w:pPr>
        <w:pStyle w:val="Heading2"/>
      </w:pPr>
      <w:r>
        <w:rPr>
          <w:b/>
          <w:sz w:val="24"/>
          <w:szCs w:val="24"/>
        </w:rPr>
        <w:t xml:space="preserve">15. Recommended signing and closing actions</w:t>
      </w:r>
    </w:p>
    <w:p>
      <w:pPr>
        <w:pStyle w:val="Heading3"/>
      </w:pPr>
      <w:r>
        <w:rPr>
          <w:b/>
          <w:sz w:val="21"/>
          <w:szCs w:val="21"/>
        </w:rPr>
        <w:t xml:space="preserve">Before signing the acquisition agreement</w:t>
      </w:r>
    </w:p>
    <w:p>
      <w:pPr>
        <w:ind w:left="360" w:hanging="180"/>
      </w:pPr>
      <w:r>
        <w:rPr>
          <w:sz w:val="20"/>
          <w:szCs w:val="20"/>
        </w:rPr>
        <w:t xml:space="preserve">1. **Prepare a fully diluted ownership analysis**</w:t>
      </w:r>
    </w:p>
    <w:p>
      <w:pPr>
        <w:ind w:left="360" w:hanging="180"/>
      </w:pPr>
      <w:r>
        <w:rPr>
          <w:sz w:val="20"/>
          <w:szCs w:val="20"/>
        </w:rPr>
        <w:t xml:space="preserve">• Identify all shares, options, warrants, convertibles, voting agreements, shareholder agreements, group arrangements and beneficial ownership positions.</w:t>
      </w:r>
    </w:p>
    <w:p>
      <w:pPr>
        <w:ind w:left="360" w:hanging="180"/>
      </w:pPr>
      <w:r>
        <w:rPr>
          <w:sz w:val="20"/>
          <w:szCs w:val="20"/>
        </w:rPr>
        <w:t xml:space="preserve">• Test whether any buyer, sponsor, consortium or affiliated group will exceed:</w:t>
      </w:r>
    </w:p>
    <w:p>
      <w:pPr>
        <w:ind w:left="360" w:hanging="180"/>
      </w:pPr>
      <w:r>
        <w:rPr>
          <w:sz w:val="20"/>
          <w:szCs w:val="20"/>
        </w:rPr>
        <w:t xml:space="preserve">• **35%** under §8.01(j); or</w:t>
      </w:r>
    </w:p>
    <w:p>
      <w:pPr>
        <w:ind w:left="360" w:hanging="180"/>
      </w:pPr>
      <w:r>
        <w:rPr>
          <w:sz w:val="20"/>
          <w:szCs w:val="20"/>
        </w:rPr>
        <w:t xml:space="preserve">• **more than 50%** under §1.01(a).</w:t>
      </w:r>
    </w:p>
    <w:p>
      <w:pPr>
        <w:ind w:left="360" w:hanging="180"/>
      </w:pPr>
      <w:r>
        <w:rPr>
          <w:sz w:val="20"/>
          <w:szCs w:val="20"/>
        </w:rPr>
        <w:t xml:space="preserve">2. **Analyze indirect and upstream ownership**</w:t>
      </w:r>
    </w:p>
    <w:p>
      <w:pPr>
        <w:ind w:left="360" w:hanging="180"/>
      </w:pPr>
      <w:r>
        <w:rPr>
          <w:sz w:val="20"/>
          <w:szCs w:val="20"/>
        </w:rPr>
        <w:t xml:space="preserve">• Trace ownership through parent entities, acquisition vehicles, affiliates and controlled entities.</w:t>
      </w:r>
    </w:p>
    <w:p>
      <w:pPr>
        <w:ind w:left="360" w:hanging="180"/>
      </w:pPr>
      <w:r>
        <w:rPr>
          <w:sz w:val="20"/>
          <w:szCs w:val="20"/>
        </w:rPr>
        <w:t xml:space="preserve">• Apply Rule 13d-3 beneficial ownership principles and the agreement’s direct/indirect language.</w:t>
      </w:r>
    </w:p>
    <w:p>
      <w:pPr>
        <w:ind w:left="360" w:hanging="180"/>
      </w:pPr>
      <w:r>
        <w:rPr>
          <w:sz w:val="20"/>
          <w:szCs w:val="20"/>
        </w:rPr>
        <w:t xml:space="preserve">3. **Review board composition**</w:t>
      </w:r>
    </w:p>
    <w:p>
      <w:pPr>
        <w:ind w:left="360" w:hanging="180"/>
      </w:pPr>
      <w:r>
        <w:rPr>
          <w:sz w:val="20"/>
          <w:szCs w:val="20"/>
        </w:rPr>
        <w:t xml:space="preserve">• Obtain the Effective Date board roster and subsequent approved replacement director records.</w:t>
      </w:r>
    </w:p>
    <w:p>
      <w:pPr>
        <w:ind w:left="360" w:hanging="180"/>
      </w:pPr>
      <w:r>
        <w:rPr>
          <w:sz w:val="20"/>
          <w:szCs w:val="20"/>
        </w:rPr>
        <w:t xml:space="preserve">• Determine whether the proposed closing board would preserve a majority of the protected incumbent-approved directors.</w:t>
      </w:r>
    </w:p>
    <w:p>
      <w:pPr>
        <w:ind w:left="360" w:hanging="180"/>
      </w:pPr>
      <w:r>
        <w:rPr>
          <w:sz w:val="20"/>
          <w:szCs w:val="20"/>
        </w:rPr>
        <w:t xml:space="preserve">• If not, treat the closing as a §8.01(j) Event of Default.</w:t>
      </w:r>
    </w:p>
    <w:p>
      <w:pPr>
        <w:ind w:left="360" w:hanging="180"/>
      </w:pPr>
      <w:r>
        <w:rPr>
          <w:sz w:val="20"/>
          <w:szCs w:val="20"/>
        </w:rPr>
        <w:t xml:space="preserve">4. **Confirm the JV ownership position**</w:t>
      </w:r>
    </w:p>
    <w:p>
      <w:pPr>
        <w:ind w:left="360" w:hanging="180"/>
      </w:pPr>
      <w:r>
        <w:rPr>
          <w:sz w:val="20"/>
          <w:szCs w:val="20"/>
        </w:rPr>
        <w:t xml:space="preserve">• Obtain the current capitalization table and Joint Venture Agreement for Apex-Kenji.</w:t>
      </w:r>
    </w:p>
    <w:p>
      <w:pPr>
        <w:ind w:left="360" w:hanging="180"/>
      </w:pPr>
      <w:r>
        <w:rPr>
          <w:sz w:val="20"/>
          <w:szCs w:val="20"/>
        </w:rPr>
        <w:t xml:space="preserve">• Confirm that the Borrower will retain at least **51%** after closing, including after any dilution, rollover, option exercise, recapitalization or issuance.</w:t>
      </w:r>
    </w:p>
    <w:p>
      <w:pPr>
        <w:ind w:left="360" w:hanging="180"/>
      </w:pPr>
      <w:r>
        <w:rPr>
          <w:sz w:val="20"/>
          <w:szCs w:val="20"/>
        </w:rPr>
        <w:t xml:space="preserve">• Obtain a covenant that no transaction will reduce the interest below 51% without unanimous lender consent.</w:t>
      </w:r>
    </w:p>
    <w:p>
      <w:pPr>
        <w:ind w:left="360" w:hanging="180"/>
      </w:pPr>
      <w:r>
        <w:rPr>
          <w:sz w:val="20"/>
          <w:szCs w:val="20"/>
        </w:rPr>
        <w:t xml:space="preserve">5. **Map all subsidiaries and Equity Interests**</w:t>
      </w:r>
    </w:p>
    <w:p>
      <w:pPr>
        <w:ind w:left="360" w:hanging="180"/>
      </w:pPr>
      <w:r>
        <w:rPr>
          <w:sz w:val="20"/>
          <w:szCs w:val="20"/>
        </w:rPr>
        <w:t xml:space="preserve">• Verify whether any subsidiaries have been formed since September 22, 2022.</w:t>
      </w:r>
    </w:p>
    <w:p>
      <w:pPr>
        <w:ind w:left="360" w:hanging="180"/>
      </w:pPr>
      <w:r>
        <w:rPr>
          <w:sz w:val="20"/>
          <w:szCs w:val="20"/>
        </w:rPr>
        <w:t xml:space="preserve">• Confirm 100% ownership of each Subsidiary other than Apex-Kenji.</w:t>
      </w:r>
    </w:p>
    <w:p>
      <w:pPr>
        <w:ind w:left="360" w:hanging="180"/>
      </w:pPr>
      <w:r>
        <w:rPr>
          <w:sz w:val="20"/>
          <w:szCs w:val="20"/>
        </w:rPr>
        <w:t xml:space="preserve">• Review proposed transfers, rollover equity, minority investments and post-closing reorganizations against §1.01(b) and §6.04.</w:t>
      </w:r>
    </w:p>
    <w:p>
      <w:pPr>
        <w:ind w:left="360" w:hanging="180"/>
      </w:pPr>
      <w:r>
        <w:rPr>
          <w:sz w:val="20"/>
          <w:szCs w:val="20"/>
        </w:rPr>
        <w:t xml:space="preserve">6. **Structure merger or reorganization steps carefully**</w:t>
      </w:r>
    </w:p>
    <w:p>
      <w:pPr>
        <w:ind w:left="360" w:hanging="180"/>
      </w:pPr>
      <w:r>
        <w:rPr>
          <w:sz w:val="20"/>
          <w:szCs w:val="20"/>
        </w:rPr>
        <w:t xml:space="preserve">• Confirm whether the Borrower remains the surviving entity.</w:t>
      </w:r>
    </w:p>
    <w:p>
      <w:pPr>
        <w:ind w:left="360" w:hanging="180"/>
      </w:pPr>
      <w:r>
        <w:rPr>
          <w:sz w:val="20"/>
          <w:szCs w:val="20"/>
        </w:rPr>
        <w:t xml:space="preserve">• Avoid any transaction that causes a Default or Event of Default.</w:t>
      </w:r>
    </w:p>
    <w:p>
      <w:pPr>
        <w:ind w:left="360" w:hanging="180"/>
      </w:pPr>
      <w:r>
        <w:rPr>
          <w:sz w:val="20"/>
          <w:szCs w:val="20"/>
        </w:rPr>
        <w:t xml:space="preserve">• Deliver the §6.03(c) Responsible Officer certificate and supporting documentation at least **10 Business Days before consummation**.</w:t>
      </w:r>
    </w:p>
    <w:p>
      <w:pPr>
        <w:ind w:left="360" w:hanging="180"/>
      </w:pPr>
      <w:r>
        <w:rPr>
          <w:sz w:val="20"/>
          <w:szCs w:val="20"/>
        </w:rPr>
        <w:t xml:space="preserve">• Obtain lender review of the full transaction structure rather than relying solely on the permitted-surviving-entity exception.</w:t>
      </w:r>
    </w:p>
    <w:p>
      <w:pPr>
        <w:ind w:left="360" w:hanging="180"/>
      </w:pPr>
      <w:r>
        <w:rPr>
          <w:sz w:val="20"/>
          <w:szCs w:val="20"/>
        </w:rPr>
        <w:t xml:space="preserve">7. **Obtain lender consent early**</w:t>
      </w:r>
    </w:p>
    <w:p>
      <w:pPr>
        <w:ind w:left="360" w:hanging="180"/>
      </w:pPr>
      <w:r>
        <w:rPr>
          <w:sz w:val="20"/>
          <w:szCs w:val="20"/>
        </w:rPr>
        <w:t xml:space="preserve">• Request written confirmation from **both Summit and Ridgeline** regarding:</w:t>
      </w:r>
    </w:p>
    <w:p>
      <w:pPr>
        <w:ind w:left="360" w:hanging="180"/>
      </w:pPr>
      <w:r>
        <w:rPr>
          <w:sz w:val="20"/>
          <w:szCs w:val="20"/>
        </w:rPr>
        <w:t xml:space="preserve">• the proposed ownership change;</w:t>
      </w:r>
    </w:p>
    <w:p>
      <w:pPr>
        <w:ind w:left="360" w:hanging="180"/>
      </w:pPr>
      <w:r>
        <w:rPr>
          <w:sz w:val="20"/>
          <w:szCs w:val="20"/>
        </w:rPr>
        <w:t xml:space="preserve">• board changes;</w:t>
      </w:r>
    </w:p>
    <w:p>
      <w:pPr>
        <w:ind w:left="360" w:hanging="180"/>
      </w:pPr>
      <w:r>
        <w:rPr>
          <w:sz w:val="20"/>
          <w:szCs w:val="20"/>
        </w:rPr>
        <w:t xml:space="preserve">• merger or consolidation steps;</w:t>
      </w:r>
    </w:p>
    <w:p>
      <w:pPr>
        <w:ind w:left="360" w:hanging="180"/>
      </w:pPr>
      <w:r>
        <w:rPr>
          <w:sz w:val="20"/>
          <w:szCs w:val="20"/>
        </w:rPr>
        <w:t xml:space="preserve">• any changes to Subsidiary ownership;</w:t>
      </w:r>
    </w:p>
    <w:p>
      <w:pPr>
        <w:ind w:left="360" w:hanging="180"/>
      </w:pPr>
      <w:r>
        <w:rPr>
          <w:sz w:val="20"/>
          <w:szCs w:val="20"/>
        </w:rPr>
        <w:t xml:space="preserve">• waiver of any applicable Event of Default; and</w:t>
      </w:r>
    </w:p>
    <w:p>
      <w:pPr>
        <w:ind w:left="360" w:hanging="180"/>
      </w:pPr>
      <w:r>
        <w:rPr>
          <w:sz w:val="20"/>
          <w:szCs w:val="20"/>
        </w:rPr>
        <w:t xml:space="preserve">• whether the lenders require repayment and termination.</w:t>
      </w:r>
    </w:p>
    <w:p>
      <w:pPr>
        <w:ind w:left="360" w:hanging="180"/>
      </w:pPr>
      <w:r>
        <w:rPr>
          <w:sz w:val="20"/>
          <w:szCs w:val="20"/>
        </w:rPr>
        <w:t xml:space="preserve">• Any amendment or waiver of §1.01, §2.09(d) or §8.01(j) requires written consent of **each Lender**.</w:t>
      </w:r>
    </w:p>
    <w:p>
      <w:pPr>
        <w:ind w:left="360" w:hanging="180"/>
      </w:pPr>
      <w:r>
        <w:rPr>
          <w:sz w:val="20"/>
          <w:szCs w:val="20"/>
        </w:rPr>
        <w:t xml:space="preserve">8. **Arrange the repayment source**</w:t>
      </w:r>
    </w:p>
    <w:p>
      <w:pPr>
        <w:ind w:left="360" w:hanging="180"/>
      </w:pPr>
      <w:r>
        <w:rPr>
          <w:sz w:val="20"/>
          <w:szCs w:val="20"/>
        </w:rPr>
        <w:t xml:space="preserve">• Size funds for:</w:t>
      </w:r>
    </w:p>
    <w:p>
      <w:pPr>
        <w:ind w:left="360" w:hanging="180"/>
      </w:pPr>
      <w:r>
        <w:rPr>
          <w:sz w:val="20"/>
          <w:szCs w:val="20"/>
        </w:rPr>
        <w:t xml:space="preserve">• all Revolving Loans outstanding at closing;</w:t>
      </w:r>
    </w:p>
    <w:p>
      <w:pPr>
        <w:ind w:left="360" w:hanging="180"/>
      </w:pPr>
      <w:r>
        <w:rPr>
          <w:sz w:val="20"/>
          <w:szCs w:val="20"/>
        </w:rPr>
        <w:t xml:space="preserve">• accrued interest;</w:t>
      </w:r>
    </w:p>
    <w:p>
      <w:pPr>
        <w:ind w:left="360" w:hanging="180"/>
      </w:pPr>
      <w:r>
        <w:rPr>
          <w:sz w:val="20"/>
          <w:szCs w:val="20"/>
        </w:rPr>
        <w:t xml:space="preserve">• fees;</w:t>
      </w:r>
    </w:p>
    <w:p>
      <w:pPr>
        <w:ind w:left="360" w:hanging="180"/>
      </w:pPr>
      <w:r>
        <w:rPr>
          <w:sz w:val="20"/>
          <w:szCs w:val="20"/>
        </w:rPr>
        <w:t xml:space="preserve">• expenses; and</w:t>
      </w:r>
    </w:p>
    <w:p>
      <w:pPr>
        <w:ind w:left="360" w:hanging="180"/>
      </w:pPr>
      <w:r>
        <w:rPr>
          <w:sz w:val="20"/>
          <w:szCs w:val="20"/>
        </w:rPr>
        <w:t xml:space="preserve">• any other Obligations.</w:t>
      </w:r>
    </w:p>
    <w:p>
      <w:pPr>
        <w:ind w:left="360" w:hanging="180"/>
      </w:pPr>
      <w:r>
        <w:rPr>
          <w:sz w:val="20"/>
          <w:szCs w:val="20"/>
        </w:rPr>
        <w:t xml:space="preserve">• Use the stated **$42,500,000** only as the Effective Date reference amount, not as a fixed closing payoff.</w:t>
      </w:r>
    </w:p>
    <w:p>
      <w:pPr>
        <w:ind w:left="360" w:hanging="180"/>
      </w:pPr>
      <w:r>
        <w:rPr>
          <w:sz w:val="20"/>
          <w:szCs w:val="20"/>
        </w:rPr>
        <w:t xml:space="preserve">9. **Address the 30-day repayment mechanics**</w:t>
      </w:r>
    </w:p>
    <w:p>
      <w:pPr>
        <w:ind w:left="360" w:hanging="180"/>
      </w:pPr>
      <w:r>
        <w:rPr>
          <w:sz w:val="20"/>
          <w:szCs w:val="20"/>
        </w:rPr>
        <w:t xml:space="preserve">• If a §1.01 Change of Control will occur, establish whether repayment occurs at closing, before closing or within the permitted **30-day** period.</w:t>
      </w:r>
    </w:p>
    <w:p>
      <w:pPr>
        <w:ind w:left="360" w:hanging="180"/>
      </w:pPr>
      <w:r>
        <w:rPr>
          <w:sz w:val="20"/>
          <w:szCs w:val="20"/>
        </w:rPr>
        <w:t xml:space="preserve">• For transaction certainty, obtain a written lender agreement that no acceleration will occur before the agreed repayment date, if lenders are permitting a post-closing payoff.</w:t>
      </w:r>
    </w:p>
    <w:p>
      <w:pPr>
        <w:ind w:left="360" w:hanging="180"/>
      </w:pPr>
      <w:r>
        <w:rPr>
          <w:sz w:val="20"/>
          <w:szCs w:val="20"/>
        </w:rPr>
        <w:t xml:space="preserve">10. **Consider a full refinancing**</w:t>
      </w:r>
    </w:p>
    <w:p>
      <w:pPr>
        <w:ind w:left="360" w:hanging="180"/>
      </w:pPr>
      <w:r>
        <w:rPr>
          <w:sz w:val="20"/>
          <w:szCs w:val="20"/>
        </w:rPr>
        <w:t xml:space="preserve">• Because all Commitments automatically terminate after a §1.01 Change of Control, a replacement financing or acquisition funding source should be committed before closing.</w:t>
      </w:r>
    </w:p>
    <w:p>
      <w:pPr>
        <w:pStyle w:val="Heading3"/>
      </w:pPr>
      <w:r>
        <w:rPr>
          <w:b/>
          <w:sz w:val="21"/>
          <w:szCs w:val="21"/>
        </w:rPr>
        <w:t xml:space="preserve">At signing</w:t>
      </w:r>
    </w:p>
    <w:p>
      <w:pPr>
        <w:ind w:left="360" w:hanging="180"/>
      </w:pPr>
      <w:r>
        <w:rPr>
          <w:sz w:val="20"/>
          <w:szCs w:val="20"/>
        </w:rPr>
        <w:t xml:space="preserve">11. **Include financing and lender-consent conditions**</w:t>
      </w:r>
    </w:p>
    <w:p>
      <w:pPr>
        <w:ind w:left="360" w:hanging="180"/>
      </w:pPr>
      <w:r>
        <w:rPr>
          <w:sz w:val="20"/>
          <w:szCs w:val="20"/>
        </w:rPr>
        <w:t xml:space="preserve">• Make lender consent, waiver or refinancing a condition to closing.</w:t>
      </w:r>
    </w:p>
    <w:p>
      <w:pPr>
        <w:ind w:left="360" w:hanging="180"/>
      </w:pPr>
      <w:r>
        <w:rPr>
          <w:sz w:val="20"/>
          <w:szCs w:val="20"/>
        </w:rPr>
        <w:t xml:space="preserve">• Include termination rights if consent is not obtained or if the facility must be repaid.</w:t>
      </w:r>
    </w:p>
    <w:p>
      <w:pPr>
        <w:ind w:left="360" w:hanging="180"/>
      </w:pPr>
      <w:r>
        <w:rPr>
          <w:sz w:val="20"/>
          <w:szCs w:val="20"/>
        </w:rPr>
        <w:t xml:space="preserve">12. **Include no-breach representations**</w:t>
      </w:r>
    </w:p>
    <w:p>
      <w:pPr>
        <w:ind w:left="360" w:hanging="180"/>
      </w:pPr>
      <w:r>
        <w:rPr>
          <w:sz w:val="20"/>
          <w:szCs w:val="20"/>
        </w:rPr>
        <w:t xml:space="preserve">• Represent that execution and closing do not violate:</w:t>
      </w:r>
    </w:p>
    <w:p>
      <w:pPr>
        <w:ind w:left="360" w:hanging="180"/>
      </w:pPr>
      <w:r>
        <w:rPr>
          <w:sz w:val="20"/>
          <w:szCs w:val="20"/>
        </w:rPr>
        <w:t xml:space="preserve">• §1.01;</w:t>
      </w:r>
    </w:p>
    <w:p>
      <w:pPr>
        <w:ind w:left="360" w:hanging="180"/>
      </w:pPr>
      <w:r>
        <w:rPr>
          <w:sz w:val="20"/>
          <w:szCs w:val="20"/>
        </w:rPr>
        <w:t xml:space="preserve">• §6.03;</w:t>
      </w:r>
    </w:p>
    <w:p>
      <w:pPr>
        <w:ind w:left="360" w:hanging="180"/>
      </w:pPr>
      <w:r>
        <w:rPr>
          <w:sz w:val="20"/>
          <w:szCs w:val="20"/>
        </w:rPr>
        <w:t xml:space="preserve">• §6.04;</w:t>
      </w:r>
    </w:p>
    <w:p>
      <w:pPr>
        <w:ind w:left="360" w:hanging="180"/>
      </w:pPr>
      <w:r>
        <w:rPr>
          <w:sz w:val="20"/>
          <w:szCs w:val="20"/>
        </w:rPr>
        <w:t xml:space="preserve">• §8.01(j); or</w:t>
      </w:r>
    </w:p>
    <w:p>
      <w:pPr>
        <w:ind w:left="360" w:hanging="180"/>
      </w:pPr>
      <w:r>
        <w:rPr>
          <w:sz w:val="20"/>
          <w:szCs w:val="20"/>
        </w:rPr>
        <w:t xml:space="preserve">• any Material Contract.</w:t>
      </w:r>
    </w:p>
    <w:p>
      <w:pPr>
        <w:ind w:left="360" w:hanging="180"/>
      </w:pPr>
      <w:r>
        <w:rPr>
          <w:sz w:val="20"/>
          <w:szCs w:val="20"/>
        </w:rPr>
        <w:t xml:space="preserve">• Obtain a closing certificate covering no Default or Event of Default.</w:t>
      </w:r>
    </w:p>
    <w:p>
      <w:pPr>
        <w:ind w:left="360" w:hanging="180"/>
      </w:pPr>
      <w:r>
        <w:rPr>
          <w:sz w:val="20"/>
          <w:szCs w:val="20"/>
        </w:rPr>
        <w:t xml:space="preserve">13. **Review Material Contracts**</w:t>
      </w:r>
    </w:p>
    <w:p>
      <w:pPr>
        <w:ind w:left="360" w:hanging="180"/>
      </w:pPr>
      <w:r>
        <w:rPr>
          <w:sz w:val="20"/>
          <w:szCs w:val="20"/>
        </w:rPr>
        <w:t xml:space="preserve">• Confirm the transaction will not trigger termination, rescission or material breach of any Material Contract that could reasonably be expected to result in a Material Adverse Effect.</w:t>
      </w:r>
    </w:p>
    <w:p>
      <w:pPr>
        <w:ind w:left="360" w:hanging="180"/>
      </w:pPr>
      <w:r>
        <w:rPr>
          <w:sz w:val="20"/>
          <w:szCs w:val="20"/>
        </w:rPr>
        <w:t xml:space="preserve">• Pay particular attention to:</w:t>
      </w:r>
    </w:p>
    <w:p>
      <w:pPr>
        <w:ind w:left="360" w:hanging="180"/>
      </w:pPr>
      <w:r>
        <w:rPr>
          <w:sz w:val="20"/>
          <w:szCs w:val="20"/>
        </w:rPr>
        <w:t xml:space="preserve">• the Kenji Joint Venture Agreement;</w:t>
      </w:r>
    </w:p>
    <w:p>
      <w:pPr>
        <w:ind w:left="360" w:hanging="180"/>
      </w:pPr>
      <w:r>
        <w:rPr>
          <w:sz w:val="20"/>
          <w:szCs w:val="20"/>
        </w:rPr>
        <w:t xml:space="preserve">• Northland Refining and PacWest Water agreements;</w:t>
      </w:r>
    </w:p>
    <w:p>
      <w:pPr>
        <w:ind w:left="360" w:hanging="180"/>
      </w:pPr>
      <w:r>
        <w:rPr>
          <w:sz w:val="20"/>
          <w:szCs w:val="20"/>
        </w:rPr>
        <w:t xml:space="preserve">• the Technology License Agreement;</w:t>
      </w:r>
    </w:p>
    <w:p>
      <w:pPr>
        <w:ind w:left="360" w:hanging="180"/>
      </w:pPr>
      <w:r>
        <w:rPr>
          <w:sz w:val="20"/>
          <w:szCs w:val="20"/>
        </w:rPr>
        <w:t xml:space="preserve">• the CTO Employment Agreement; and</w:t>
      </w:r>
    </w:p>
    <w:p>
      <w:pPr>
        <w:ind w:left="360" w:hanging="180"/>
      </w:pPr>
      <w:r>
        <w:rPr>
          <w:sz w:val="20"/>
          <w:szCs w:val="20"/>
        </w:rPr>
        <w:t xml:space="preserve">• the headquarters and R&amp;D leases.</w:t>
      </w:r>
    </w:p>
    <w:p>
      <w:pPr>
        <w:ind w:left="360" w:hanging="180"/>
      </w:pPr>
      <w:r>
        <w:rPr>
          <w:sz w:val="20"/>
          <w:szCs w:val="20"/>
        </w:rPr>
        <w:t xml:space="preserve">• **§3.08**; **Schedule 3.08**; **§8.01(k)**.</w:t>
      </w:r>
    </w:p>
    <w:p>
      <w:pPr>
        <w:pStyle w:val="Heading3"/>
      </w:pPr>
      <w:r>
        <w:rPr>
          <w:b/>
          <w:sz w:val="21"/>
          <w:szCs w:val="21"/>
        </w:rPr>
        <w:t xml:space="preserve">At closing</w:t>
      </w:r>
    </w:p>
    <w:p>
      <w:pPr>
        <w:ind w:left="360" w:hanging="180"/>
      </w:pPr>
      <w:r>
        <w:rPr>
          <w:sz w:val="20"/>
          <w:szCs w:val="20"/>
        </w:rPr>
        <w:t xml:space="preserve">14. **Deliver notices**</w:t>
      </w:r>
    </w:p>
    <w:p>
      <w:pPr>
        <w:ind w:left="360" w:hanging="180"/>
      </w:pPr>
      <w:r>
        <w:rPr>
          <w:sz w:val="20"/>
          <w:szCs w:val="20"/>
        </w:rPr>
        <w:t xml:space="preserve">• Give written notice to the Administrative Agent within **5 Business Days** after the Borrower becomes aware of the Change of Control or Change in Control.</w:t>
      </w:r>
    </w:p>
    <w:p>
      <w:pPr>
        <w:ind w:left="360" w:hanging="180"/>
      </w:pPr>
      <w:r>
        <w:rPr>
          <w:sz w:val="20"/>
          <w:szCs w:val="20"/>
        </w:rPr>
        <w:t xml:space="preserve">• For certainty, deliver notice before or concurrently with closing.</w:t>
      </w:r>
    </w:p>
    <w:p>
      <w:pPr>
        <w:ind w:left="360" w:hanging="180"/>
      </w:pPr>
      <w:r>
        <w:rPr>
          <w:sz w:val="20"/>
          <w:szCs w:val="20"/>
        </w:rPr>
        <w:t xml:space="preserve">15. **Deliver required merger documentation**</w:t>
      </w:r>
    </w:p>
    <w:p>
      <w:pPr>
        <w:ind w:left="360" w:hanging="180"/>
      </w:pPr>
      <w:r>
        <w:rPr>
          <w:sz w:val="20"/>
          <w:szCs w:val="20"/>
        </w:rPr>
        <w:t xml:space="preserve">• If §6.03(c) is relied upon, deliver the Responsible Officer certificate and requested supporting materials at least **10 Business Days before closing**.</w:t>
      </w:r>
    </w:p>
    <w:p>
      <w:pPr>
        <w:ind w:left="360" w:hanging="180"/>
      </w:pPr>
      <w:r>
        <w:rPr>
          <w:sz w:val="20"/>
          <w:szCs w:val="20"/>
        </w:rPr>
        <w:t xml:space="preserve">16. **Fund the payoff**</w:t>
      </w:r>
    </w:p>
    <w:p>
      <w:pPr>
        <w:ind w:left="360" w:hanging="180"/>
      </w:pPr>
      <w:r>
        <w:rPr>
          <w:sz w:val="20"/>
          <w:szCs w:val="20"/>
        </w:rPr>
        <w:t xml:space="preserve">• Pay all outstanding Revolving Loans in full, together with accrued interest and all other due amounts, within the required period.</w:t>
      </w:r>
    </w:p>
    <w:p>
      <w:pPr>
        <w:ind w:left="360" w:hanging="180"/>
      </w:pPr>
      <w:r>
        <w:rPr>
          <w:sz w:val="20"/>
          <w:szCs w:val="20"/>
        </w:rPr>
        <w:t xml:space="preserve">• Obtain a payoff letter, termination confirmation and confirmation that all Commitments have terminated.</w:t>
      </w:r>
    </w:p>
    <w:p>
      <w:pPr>
        <w:ind w:left="360" w:hanging="180"/>
      </w:pPr>
      <w:r>
        <w:rPr>
          <w:sz w:val="20"/>
          <w:szCs w:val="20"/>
        </w:rPr>
        <w:t xml:space="preserve">17. **Release and collateral documentation**</w:t>
      </w:r>
    </w:p>
    <w:p>
      <w:pPr>
        <w:ind w:left="360" w:hanging="180"/>
      </w:pPr>
      <w:r>
        <w:rPr>
          <w:sz w:val="20"/>
          <w:szCs w:val="20"/>
        </w:rPr>
        <w:t xml:space="preserve">• Coordinate termination or release of the Security Agreement and related liens if the facility is fully repaid.</w:t>
      </w:r>
    </w:p>
    <w:p>
      <w:pPr>
        <w:ind w:left="360" w:hanging="180"/>
      </w:pPr>
      <w:r>
        <w:rPr>
          <w:sz w:val="20"/>
          <w:szCs w:val="20"/>
        </w:rPr>
        <w:t xml:space="preserve">• Confirm whether any lender consent is required for collateral release under **§10.02(f)**.</w:t>
      </w:r>
    </w:p>
    <w:p>
      <w:pPr>
        <w:ind w:left="360" w:hanging="180"/>
      </w:pPr>
      <w:r>
        <w:rPr>
          <w:sz w:val="20"/>
          <w:szCs w:val="20"/>
        </w:rPr>
        <w:t xml:space="preserve">18. **Post-closing compliance**</w:t>
      </w:r>
    </w:p>
    <w:p>
      <w:pPr>
        <w:ind w:left="360" w:hanging="180"/>
      </w:pPr>
      <w:r>
        <w:rPr>
          <w:sz w:val="20"/>
          <w:szCs w:val="20"/>
        </w:rPr>
        <w:t xml:space="preserve">• Update ownership, subsidiary and board records.</w:t>
      </w:r>
    </w:p>
    <w:p>
      <w:pPr>
        <w:ind w:left="360" w:hanging="180"/>
      </w:pPr>
      <w:r>
        <w:rPr>
          <w:sz w:val="20"/>
          <w:szCs w:val="20"/>
        </w:rPr>
        <w:t xml:space="preserve">• Deliver any revised organizational documents, certificates and notices required by the Administrative Agent.</w:t>
      </w:r>
    </w:p>
    <w:p>
      <w:pPr>
        <w:ind w:left="360" w:hanging="180"/>
      </w:pPr>
      <w:r>
        <w:rPr>
          <w:sz w:val="20"/>
          <w:szCs w:val="20"/>
        </w:rPr>
        <w:t xml:space="preserve">• Continue monitoring the financial covenants and all remaining Obligations until the payoff and collateral release are complete.</w:t>
      </w:r>
    </w:p>
    <w:p>
      <w:pPr>
        <w:pStyle w:val="Heading1"/>
      </w:pPr>
      <w:r>
        <w:rPr>
          <w:b/>
          <w:sz w:val="28"/>
          <w:szCs w:val="28"/>
        </w:rPr>
        <w:t xml:space="preserve">Hendricks License Agreement</w:t>
      </w:r>
    </w:p>
    <w:p>
      <w:r>
        <w:rPr>
          <w:i/>
          <w:sz w:val="18"/>
          <w:szCs w:val="18"/>
        </w:rPr>
        <w:t xml:space="preserve">Source file: hendricks-license-agreement.docx.txt</w:t>
      </w:r>
    </w:p>
    <w:p>
      <w:pPr>
        <w:pStyle w:val="Heading2"/>
      </w:pPr>
      <w:r>
        <w:rPr>
          <w:b/>
          <w:sz w:val="24"/>
          <w:szCs w:val="24"/>
        </w:rPr>
        <w:t xml:space="preserve">Change-of-Control and Assignment</w:t>
      </w:r>
    </w:p>
    <w:p>
      <w:pPr>
        <w:pStyle w:val="Heading3"/>
      </w:pPr>
      <w:r>
        <w:rPr>
          <w:b/>
          <w:sz w:val="21"/>
          <w:szCs w:val="21"/>
        </w:rPr>
        <w:t xml:space="preserve">Parties and agreement context</w:t>
      </w:r>
    </w:p>
    <w:p>
      <w:pPr>
        <w:spacing w:after="120" w:line="276" w:lineRule="auto"/>
      </w:pPr>
      <w:r>
        <w:rPr>
          <w:sz w:val="20"/>
          <w:szCs w:val="20"/>
        </w:rPr>
        <w:t xml:space="preserve">Technology License Agreement No. HAS-LIC-2020-0088 is between Hendricks Automation Systems, Inc. (“**Licensor**” or “**Hendricks**”) and Apex Industrial Technologies, Inc. (“**Licensee**” or “**Apex**”), effective March 1, 2020. The agreement runs through February 28, 2030, unless earlier terminated. It grants Apex a non-transferable license to use the FlowLogic Algorithm in the AX-7000 Product Line, including manufacturing, marketing, distributing, and selling Licensed Products worldwide. The technology is configured and optimized for Apex’s Crestline ERP Platform v.8.2 and related data interfaces (Recitals, Sections 1.2, 2.1, 3.2 and Exhibit A).</w:t>
      </w:r>
    </w:p>
    <w:p>
      <w:pPr>
        <w:pStyle w:val="Heading3"/>
      </w:pPr>
      <w:r>
        <w:rPr>
          <w:b/>
          <w:sz w:val="21"/>
          <w:szCs w:val="21"/>
        </w:rPr>
        <w:t xml:space="preserve">Express change-of-control provision and triggers</w:t>
      </w:r>
    </w:p>
    <w:p>
      <w:pPr>
        <w:spacing w:after="120" w:line="276" w:lineRule="auto"/>
      </w:pPr>
      <w:r>
        <w:rPr>
          <w:sz w:val="20"/>
          <w:szCs w:val="20"/>
        </w:rPr>
        <w:t xml:space="preserve">Section 1.3 defines “**Change of Control**,” with respect to Apex, as:</w:t>
      </w:r>
    </w:p>
    <w:p>
      <w:pPr>
        <w:ind w:left="360" w:hanging="180"/>
      </w:pPr>
      <w:r>
        <w:rPr>
          <w:sz w:val="20"/>
          <w:szCs w:val="20"/>
        </w:rPr>
        <w:t xml:space="preserve">1. **Any merger, consolidation, or reorganization involving Apex, whether or not Apex is the surviving entity** (Section 1.3(a));</w:t>
      </w:r>
    </w:p>
    <w:p>
      <w:pPr>
        <w:ind w:left="360" w:hanging="180"/>
      </w:pPr>
      <w:r>
        <w:rPr>
          <w:sz w:val="20"/>
          <w:szCs w:val="20"/>
        </w:rPr>
        <w:t xml:space="preserve">2. **The sale, transfer, or other disposition of all or substantially all of Apex’s assets** (Section 1.3(b));</w:t>
      </w:r>
    </w:p>
    <w:p>
      <w:pPr>
        <w:ind w:left="360" w:hanging="180"/>
      </w:pPr>
      <w:r>
        <w:rPr>
          <w:sz w:val="20"/>
          <w:szCs w:val="20"/>
        </w:rPr>
        <w:t xml:space="preserve">3. **The acquisition by any person or group of persons of beneficial ownership of more than 50% of Apex’s outstanding voting securities** (Section 1.3(c)); or</w:t>
      </w:r>
    </w:p>
    <w:p>
      <w:pPr>
        <w:ind w:left="360" w:hanging="180"/>
      </w:pPr>
      <w:r>
        <w:rPr>
          <w:sz w:val="20"/>
          <w:szCs w:val="20"/>
        </w:rPr>
        <w:t xml:space="preserve">4. **Any other transaction or series of related transactions resulting in a change in the identity of the person or persons who ultimately control Apex** (Section 1.3(d)).</w:t>
      </w:r>
    </w:p>
    <w:p>
      <w:pPr>
        <w:spacing w:after="120" w:line="276" w:lineRule="auto"/>
      </w:pPr>
      <w:r>
        <w:rPr>
          <w:sz w:val="20"/>
          <w:szCs w:val="20"/>
        </w:rPr>
        <w:t xml:space="preserve">The definition applies **regardless of transaction form**, expressly including forward mergers, reverse mergers, triangular mergers, and combinations of those structures. The agreement does not separately define “beneficial ownership” or “ultimately control,” creating some interpretive uncertainty but broadening the potential scope.</w:t>
      </w:r>
    </w:p>
    <w:p>
      <w:pPr>
        <w:spacing w:after="120" w:line="276" w:lineRule="auto"/>
      </w:pPr>
      <w:r>
        <w:rPr>
          <w:sz w:val="20"/>
          <w:szCs w:val="20"/>
        </w:rPr>
        <w:t xml:space="preserve">There are **no express exceptions** for internal reorganizations, Affiliate transfers, parent or holding-company changes, public-company trading, management-led transactions, transactions in which Apex remains the operating entity, or transactions approved by Apex’s board or shareholders. There is no stated safe harbor for ownership changes below 50%, although Section 1.3(c) expressly refers to acquisition of **more than 50%** of voting securities.</w:t>
      </w:r>
    </w:p>
    <w:p>
      <w:pPr>
        <w:pStyle w:val="Heading3"/>
      </w:pPr>
      <w:r>
        <w:rPr>
          <w:b/>
          <w:sz w:val="21"/>
          <w:szCs w:val="21"/>
        </w:rPr>
        <w:t xml:space="preserve">Treatment of transaction structures and control changes</w:t>
      </w:r>
    </w:p>
    <w:p>
      <w:pPr>
        <w:ind w:left="360" w:hanging="180"/>
      </w:pPr>
      <w:r>
        <w:rPr>
          <w:sz w:val="20"/>
          <w:szCs w:val="20"/>
        </w:rPr>
        <w:t xml:space="preserve">• **Direct stock acquisition:** Acquisition of more than 50% of Apex’s voting securities is an express Change of Control under Section 1.3(c).</w:t>
      </w:r>
    </w:p>
    <w:p>
      <w:pPr>
        <w:ind w:left="360" w:hanging="180"/>
      </w:pPr>
      <w:r>
        <w:rPr>
          <w:sz w:val="20"/>
          <w:szCs w:val="20"/>
        </w:rPr>
        <w:t xml:space="preserve">• **Acquisition of 50% or less:** Not expressly covered by Section 1.3(c), but potentially covered by the Section 1.3(d) catch-all if it changes ultimate control.</w:t>
      </w:r>
    </w:p>
    <w:p>
      <w:pPr>
        <w:ind w:left="360" w:hanging="180"/>
      </w:pPr>
      <w:r>
        <w:rPr>
          <w:sz w:val="20"/>
          <w:szCs w:val="20"/>
        </w:rPr>
        <w:t xml:space="preserve">• **Merger or consolidation:** Covered whether Apex survives or not under Section 1.3(a); forward, reverse, and triangular mergers are expressly included.</w:t>
      </w:r>
    </w:p>
    <w:p>
      <w:pPr>
        <w:ind w:left="360" w:hanging="180"/>
      </w:pPr>
      <w:r>
        <w:rPr>
          <w:sz w:val="20"/>
          <w:szCs w:val="20"/>
        </w:rPr>
        <w:t xml:space="preserve">• **Sale of all or substantially all assets:** Expressly covered under Section 1.3(b).</w:t>
      </w:r>
    </w:p>
    <w:p>
      <w:pPr>
        <w:ind w:left="360" w:hanging="180"/>
      </w:pPr>
      <w:r>
        <w:rPr>
          <w:sz w:val="20"/>
          <w:szCs w:val="20"/>
        </w:rPr>
        <w:t xml:space="preserve">• **Sale of a division, product line, AX-7000 business, or selected assets:** Not automatically a Change of Control unless it involves substantially all assets or changes ultimate control. However, the license is personal and non-transferable, so any transfer of the licensed business or rights remains subject to Section 10.1.</w:t>
      </w:r>
    </w:p>
    <w:p>
      <w:pPr>
        <w:ind w:left="360" w:hanging="180"/>
      </w:pPr>
      <w:r>
        <w:rPr>
          <w:sz w:val="20"/>
          <w:szCs w:val="20"/>
        </w:rPr>
        <w:t xml:space="preserve">• **Upstream or indirect change:** An acquisition or ownership change involving Apex’s parent or other controlling entity is likely covered by Section 1.3(d) if it changes the persons who ultimately control Apex, although upstream changes are not expressly addressed.</w:t>
      </w:r>
    </w:p>
    <w:p>
      <w:pPr>
        <w:ind w:left="360" w:hanging="180"/>
      </w:pPr>
      <w:r>
        <w:rPr>
          <w:sz w:val="20"/>
          <w:szCs w:val="20"/>
        </w:rPr>
        <w:t xml:space="preserve">• **Management changes:** There is no standalone trigger for a change in directors, officers, or day-to-day management. Such a change is covered only if it also changes the identity of the persons who ultimately control Apex or otherwise constitutes a Section 1.3 transaction.</w:t>
      </w:r>
    </w:p>
    <w:p>
      <w:pPr>
        <w:ind w:left="360" w:hanging="180"/>
      </w:pPr>
      <w:r>
        <w:rPr>
          <w:sz w:val="20"/>
          <w:szCs w:val="20"/>
        </w:rPr>
        <w:t xml:space="preserve">• **Hendricks transaction:** Hendricks may assign the agreement to a successor or to an acquirer of all or substantially all of Hendricks’ assets or business related to the Licensed Technology upon written notice to Apex (Section 10.2). Apex has no equivalent right.</w:t>
      </w:r>
    </w:p>
    <w:p>
      <w:pPr>
        <w:pStyle w:val="Heading3"/>
      </w:pPr>
      <w:r>
        <w:rPr>
          <w:b/>
          <w:sz w:val="21"/>
          <w:szCs w:val="21"/>
        </w:rPr>
        <w:t xml:space="preserve">Assignment and transfer restrictions</w:t>
      </w:r>
    </w:p>
    <w:p>
      <w:pPr>
        <w:spacing w:after="120" w:line="276" w:lineRule="auto"/>
      </w:pPr>
      <w:r>
        <w:rPr>
          <w:sz w:val="20"/>
          <w:szCs w:val="20"/>
        </w:rPr>
        <w:t xml:space="preserve">The license is expressly **non-transferable, personal to Apex, and not transferable, sublicensable, or assignable** except as expressly permitted (Section 2.1). Section 10.1 further prohibits Apex from assigning, transferring, delegating, or otherwise disposing of the agreement or any rights or obligations under it, whether by operation of law or otherwise, without Hendricks’ prior written consent. Hendricks may withhold consent in its **sole and absolute discretion**.</w:t>
      </w:r>
    </w:p>
    <w:p>
      <w:pPr>
        <w:spacing w:after="120" w:line="276" w:lineRule="auto"/>
      </w:pPr>
      <w:r>
        <w:rPr>
          <w:sz w:val="20"/>
          <w:szCs w:val="20"/>
        </w:rPr>
        <w:t xml:space="preserve">Critically, Section 10.1 provides that a Change of Control of Apex is **deemed an assignment by operation of law**. Any prohibited transaction is stated to be **“null and void”** and of **“no force or effect.”** There is no Affiliate, parent, subsidiary, successor-by-merger, purchaser-of-business, or internal-reorganization exception for Apex. Section 1.1’s 50% Affiliate definition does not create an assignment exception.</w:t>
      </w:r>
    </w:p>
    <w:p>
      <w:pPr>
        <w:spacing w:after="120" w:line="276" w:lineRule="auto"/>
      </w:pPr>
      <w:r>
        <w:rPr>
          <w:sz w:val="20"/>
          <w:szCs w:val="20"/>
        </w:rPr>
        <w:t xml:space="preserve">Additional consent restrictions include:</w:t>
      </w:r>
    </w:p>
    <w:p>
      <w:pPr>
        <w:ind w:left="360" w:hanging="180"/>
      </w:pPr>
      <w:r>
        <w:rPr>
          <w:sz w:val="20"/>
          <w:szCs w:val="20"/>
        </w:rPr>
        <w:t xml:space="preserve">• use of the Licensed Technology in other Apex product lines, platforms, or applications (Section 2.2);</w:t>
      </w:r>
    </w:p>
    <w:p>
      <w:pPr>
        <w:ind w:left="360" w:hanging="180"/>
      </w:pPr>
      <w:r>
        <w:rPr>
          <w:sz w:val="20"/>
          <w:szCs w:val="20"/>
        </w:rPr>
        <w:t xml:space="preserve">• sublicensing to any third party, including potentially subsidiaries, group companies, contract manufacturers, distributors, service providers, or joint ventures (Section 2.2); and</w:t>
      </w:r>
    </w:p>
    <w:p>
      <w:pPr>
        <w:ind w:left="360" w:hanging="180"/>
      </w:pPr>
      <w:r>
        <w:rPr>
          <w:sz w:val="20"/>
          <w:szCs w:val="20"/>
        </w:rPr>
        <w:t xml:space="preserve">• creation of Derivative Works (Section 2.4).</w:t>
      </w:r>
    </w:p>
    <w:p>
      <w:pPr>
        <w:spacing w:after="120" w:line="276" w:lineRule="auto"/>
      </w:pPr>
      <w:r>
        <w:rPr>
          <w:sz w:val="20"/>
          <w:szCs w:val="20"/>
        </w:rPr>
        <w:t xml:space="preserve">Hendricks may freely assign the agreement, in whole or in part, to a successor or acquirer of the relevant Hendricks business upon written notice, subject to responsibility for obligations arising before assignment (Section 10.2). The allocation is materially asymmetric.</w:t>
      </w:r>
    </w:p>
    <w:p>
      <w:pPr>
        <w:pStyle w:val="Heading3"/>
      </w:pPr>
      <w:r>
        <w:rPr>
          <w:b/>
          <w:sz w:val="21"/>
          <w:szCs w:val="21"/>
        </w:rPr>
        <w:t xml:space="preserve">Consent, notice, and timing requirements</w:t>
      </w:r>
    </w:p>
    <w:p>
      <w:pPr>
        <w:spacing w:after="120" w:line="276" w:lineRule="auto"/>
      </w:pPr>
      <w:r>
        <w:rPr>
          <w:sz w:val="20"/>
          <w:szCs w:val="20"/>
        </w:rPr>
        <w:t xml:space="preserve">Apex must obtain Hendricks’ **prior written consent** for an assignment, transfer, delegation, or other disposition and for any Change-of-Control-related assignment (Sections 2.1 and 10.1). Hendricks’ consent may be withheld in its sole and absolute discretion; there is no “reasonableness” standard, deemed-consent mechanism, or notice-and-wait procedure.</w:t>
      </w:r>
    </w:p>
    <w:p>
      <w:pPr>
        <w:spacing w:after="120" w:line="276" w:lineRule="auto"/>
      </w:pPr>
      <w:r>
        <w:rPr>
          <w:sz w:val="20"/>
          <w:szCs w:val="20"/>
        </w:rPr>
        <w:t xml:space="preserve">Section 9.1 does not require Apex to give advance notice of a proposed Change of Control and expressly provides no prior notice period, cure period, or opportunity for Apex to obtain consent after the event. Hendricks must provide written notice to terminate, but termination is effective **immediately upon delivery**.</w:t>
      </w:r>
    </w:p>
    <w:p>
      <w:pPr>
        <w:spacing w:after="120" w:line="276" w:lineRule="auto"/>
      </w:pPr>
      <w:r>
        <w:rPr>
          <w:sz w:val="20"/>
          <w:szCs w:val="20"/>
        </w:rPr>
        <w:t xml:space="preserve">General notices must be in writing and delivered by hand, nationally recognized overnight courier, or certified mail, return receipt requested; ordinary email is not authorized (Section 12.5). Amendments or modifications must be in writing and signed by authorized representatives of both parties (Section 12.2), and waivers must be in writing and signed by the waiving party (Section 12.3). Any transaction consent or waiver should therefore be documented in a signed writing.</w:t>
      </w:r>
    </w:p>
    <w:p>
      <w:pPr>
        <w:pStyle w:val="Heading3"/>
      </w:pPr>
      <w:r>
        <w:rPr>
          <w:b/>
          <w:sz w:val="21"/>
          <w:szCs w:val="21"/>
        </w:rPr>
        <w:t xml:space="preserve">Consequences and remedies</w:t>
      </w:r>
    </w:p>
    <w:p>
      <w:pPr>
        <w:spacing w:after="120" w:line="276" w:lineRule="auto"/>
      </w:pPr>
      <w:r>
        <w:rPr>
          <w:sz w:val="20"/>
          <w:szCs w:val="20"/>
        </w:rPr>
        <w:t xml:space="preserve">Under Section 9.1, if Apex undergoes a Change of Control, Hendricks may terminate:</w:t>
      </w:r>
    </w:p>
    <w:p>
      <w:pPr>
        <w:ind w:left="360" w:hanging="180"/>
      </w:pPr>
      <w:r>
        <w:rPr>
          <w:sz w:val="20"/>
          <w:szCs w:val="20"/>
        </w:rPr>
        <w:t xml:space="preserve">• **immediately upon written notice**;</w:t>
      </w:r>
    </w:p>
    <w:p>
      <w:pPr>
        <w:ind w:left="360" w:hanging="180"/>
      </w:pPr>
      <w:r>
        <w:rPr>
          <w:sz w:val="20"/>
          <w:szCs w:val="20"/>
        </w:rPr>
        <w:t xml:space="preserve">• in Hendricks’ **sole and absolute discretion**;</w:t>
      </w:r>
    </w:p>
    <w:p>
      <w:pPr>
        <w:ind w:left="360" w:hanging="180"/>
      </w:pPr>
      <w:r>
        <w:rPr>
          <w:sz w:val="20"/>
          <w:szCs w:val="20"/>
        </w:rPr>
        <w:t xml:space="preserve">• **without obligation to justify** the decision;</w:t>
      </w:r>
    </w:p>
    <w:p>
      <w:pPr>
        <w:ind w:left="360" w:hanging="180"/>
      </w:pPr>
      <w:r>
        <w:rPr>
          <w:sz w:val="20"/>
          <w:szCs w:val="20"/>
        </w:rPr>
        <w:t xml:space="preserve">• without a prior notice period;</w:t>
      </w:r>
    </w:p>
    <w:p>
      <w:pPr>
        <w:ind w:left="360" w:hanging="180"/>
      </w:pPr>
      <w:r>
        <w:rPr>
          <w:sz w:val="20"/>
          <w:szCs w:val="20"/>
        </w:rPr>
        <w:t xml:space="preserve">• without a cure period; and</w:t>
      </w:r>
    </w:p>
    <w:p>
      <w:pPr>
        <w:ind w:left="360" w:hanging="180"/>
      </w:pPr>
      <w:r>
        <w:rPr>
          <w:sz w:val="20"/>
          <w:szCs w:val="20"/>
        </w:rPr>
        <w:t xml:space="preserve">• without giving Apex an opportunity to obtain Hendricks’ consent.</w:t>
      </w:r>
    </w:p>
    <w:p>
      <w:pPr>
        <w:spacing w:after="120" w:line="276" w:lineRule="auto"/>
      </w:pPr>
      <w:r>
        <w:rPr>
          <w:sz w:val="20"/>
          <w:szCs w:val="20"/>
        </w:rPr>
        <w:t xml:space="preserve">This is a discretionary rather than automatic termination right, but the agreement provides no meaningful protection against exercise of that right. Upon notice, all rights granted to Apex cease immediately, subject only to Section 9.5.</w:t>
      </w:r>
    </w:p>
    <w:p>
      <w:pPr>
        <w:spacing w:after="120" w:line="276" w:lineRule="auto"/>
      </w:pPr>
      <w:r>
        <w:rPr>
          <w:sz w:val="20"/>
          <w:szCs w:val="20"/>
        </w:rPr>
        <w:t xml:space="preserve">Section 9.5 provides the following consequences:</w:t>
      </w:r>
    </w:p>
    <w:p>
      <w:pPr>
        <w:ind w:left="360" w:hanging="180"/>
      </w:pPr>
      <w:r>
        <w:rPr>
          <w:sz w:val="20"/>
          <w:szCs w:val="20"/>
        </w:rPr>
        <w:t xml:space="preserve">• Apex must immediately cease using the Licensed Technology.</w:t>
      </w:r>
    </w:p>
    <w:p>
      <w:pPr>
        <w:ind w:left="360" w:hanging="180"/>
      </w:pPr>
      <w:r>
        <w:rPr>
          <w:sz w:val="20"/>
          <w:szCs w:val="20"/>
        </w:rPr>
        <w:t xml:space="preserve">• Within **30 days** after termination, Apex must return or destroy all copies of the Licensed Technology and Documentation and provide a written certification signed by an authorized officer.</w:t>
      </w:r>
    </w:p>
    <w:p>
      <w:pPr>
        <w:ind w:left="360" w:hanging="180"/>
      </w:pPr>
      <w:r>
        <w:rPr>
          <w:sz w:val="20"/>
          <w:szCs w:val="20"/>
        </w:rPr>
        <w:t xml:space="preserve">• Apex may sell existing inventory of Licensed Products that was **fully manufactured before termination** for a limited **90-day** sell-off period.</w:t>
      </w:r>
    </w:p>
    <w:p>
      <w:pPr>
        <w:ind w:left="360" w:hanging="180"/>
      </w:pPr>
      <w:r>
        <w:rPr>
          <w:sz w:val="20"/>
          <w:szCs w:val="20"/>
        </w:rPr>
        <w:t xml:space="preserve">• Royalties remain payable during the sell-off period.</w:t>
      </w:r>
    </w:p>
    <w:p>
      <w:pPr>
        <w:ind w:left="360" w:hanging="180"/>
      </w:pPr>
      <w:r>
        <w:rPr>
          <w:sz w:val="20"/>
          <w:szCs w:val="20"/>
        </w:rPr>
        <w:t xml:space="preserve">• Apex may not manufacture new Licensed Products during the sell-off period.</w:t>
      </w:r>
    </w:p>
    <w:p>
      <w:pPr>
        <w:ind w:left="360" w:hanging="180"/>
      </w:pPr>
      <w:r>
        <w:rPr>
          <w:sz w:val="20"/>
          <w:szCs w:val="20"/>
        </w:rPr>
        <w:t xml:space="preserve">• Accrued but unpaid License Fees and Royalties become immediately due and payable; future, unaccrued royalties and license fees are not accelerated.</w:t>
      </w:r>
    </w:p>
    <w:p>
      <w:pPr>
        <w:ind w:left="360" w:hanging="180"/>
      </w:pPr>
      <w:r>
        <w:rPr>
          <w:sz w:val="20"/>
          <w:szCs w:val="20"/>
        </w:rPr>
        <w:t xml:space="preserve">• Articles 5, 6, 8 and 11, Sections 7.3 and 9.5 survive termination.</w:t>
      </w:r>
    </w:p>
    <w:p>
      <w:pPr>
        <w:spacing w:after="120" w:line="276" w:lineRule="auto"/>
      </w:pPr>
      <w:r>
        <w:rPr>
          <w:sz w:val="20"/>
          <w:szCs w:val="20"/>
        </w:rPr>
        <w:t xml:space="preserve">The agreement contains no buy-out, termination fee, replacement license, premium or pricing formula, royalty renegotiation right, source-code escrow, transition assistance, extended run-off, continuing customer or installed-product license, post-termination maintenance right, or obligation for Hendricks to negotiate a replacement license. There is no express tail beyond the 90-day sell-off right for qualifying inventory.</w:t>
      </w:r>
    </w:p>
    <w:p>
      <w:pPr>
        <w:pStyle w:val="Heading3"/>
      </w:pPr>
      <w:r>
        <w:rPr>
          <w:b/>
          <w:sz w:val="21"/>
          <w:szCs w:val="21"/>
        </w:rPr>
        <w:t xml:space="preserve">Other material transaction risks</w:t>
      </w:r>
    </w:p>
    <w:p>
      <w:pPr>
        <w:ind w:left="360" w:hanging="180"/>
      </w:pPr>
      <w:r>
        <w:rPr>
          <w:sz w:val="20"/>
          <w:szCs w:val="20"/>
        </w:rPr>
        <w:t xml:space="preserve">• **Product and scope restrictions:** Use is limited to the AX-7000 Product Line. Expansion to other product lines, platforms, or applications requires Hendricks’ prior written consent, which may be withheld in its sole discretion (Sections 2.1 and 2.2).</w:t>
      </w:r>
    </w:p>
    <w:p>
      <w:pPr>
        <w:ind w:left="360" w:hanging="180"/>
      </w:pPr>
      <w:r>
        <w:rPr>
          <w:sz w:val="20"/>
          <w:szCs w:val="20"/>
        </w:rPr>
        <w:t xml:space="preserve">• **Sublicensing and group use:** Buyer integration involving Affiliates, subsidiaries, contract manufacturers, distributors, service providers, joint ventures, or other group companies may require additional approval (Section 2.2).</w:t>
      </w:r>
    </w:p>
    <w:p>
      <w:pPr>
        <w:ind w:left="360" w:hanging="180"/>
      </w:pPr>
      <w:r>
        <w:rPr>
          <w:sz w:val="20"/>
          <w:szCs w:val="20"/>
        </w:rPr>
        <w:t xml:space="preserve">• **Improvements:** Improvements, modifications, enhancements, and Derivative Works developed by Apex are owned exclusively by Hendricks, and Apex irrevocably assigns related rights to Hendricks (Sections 2.4 and 5.2).</w:t>
      </w:r>
    </w:p>
    <w:p>
      <w:pPr>
        <w:ind w:left="360" w:hanging="180"/>
      </w:pPr>
      <w:r>
        <w:rPr>
          <w:sz w:val="20"/>
          <w:szCs w:val="20"/>
        </w:rPr>
        <w:t xml:space="preserve">• **Royalties and audit exposure:** Apex pays a **3.5% royalty** on Net Sales Revenue from Licensed Products (Section 4.2 and Exhibit B). Hendricks has annual audit rights on **30 days’ prior notice**. Underpayment exceeding **5%** for a quarterly period may require Apex to pay reasonable audit costs and interest at **1.5% per month** (Section 4.3). Audit history, royalty calculations, and unpaid or disputed amounts require review.</w:t>
      </w:r>
    </w:p>
    <w:p>
      <w:pPr>
        <w:ind w:left="360" w:hanging="180"/>
      </w:pPr>
      <w:r>
        <w:rPr>
          <w:sz w:val="20"/>
          <w:szCs w:val="20"/>
        </w:rPr>
        <w:t xml:space="preserve">• **Insolvency:** Either party may terminate immediately upon written notice for insolvency, inability to pay debts as due, bankruptcy or an involuntary petition not dismissed within **60 days**, or appointment of a receiver, trustee, or similar officer over all or substantially all assets (Section 9.3).</w:t>
      </w:r>
    </w:p>
    <w:p>
      <w:pPr>
        <w:ind w:left="360" w:hanging="180"/>
      </w:pPr>
      <w:r>
        <w:rPr>
          <w:sz w:val="20"/>
          <w:szCs w:val="20"/>
        </w:rPr>
        <w:t xml:space="preserve">• **Material breach:** Either party may terminate for uncured material breach after **60 days’ prior written notice** (Section 9.2). Unauthorized transfer, sublicensing, out-of-scope use, nonpayment, and confidentiality breaches may be relevant transaction-related defaults.</w:t>
      </w:r>
    </w:p>
    <w:p>
      <w:pPr>
        <w:ind w:left="360" w:hanging="180"/>
      </w:pPr>
      <w:r>
        <w:rPr>
          <w:sz w:val="20"/>
          <w:szCs w:val="20"/>
        </w:rPr>
        <w:t xml:space="preserve">• **ERP dependency:** The agreement does not clearly require Hendricks to support a replacement ERP platform if the buyer migrates away from Crestline ERP Platform v.8.2. Compatibility, integration support, costs, and obligations for a successor ERP should be addressed (Recitals, Section 3.2 and Exhibit A).</w:t>
      </w:r>
    </w:p>
    <w:p>
      <w:pPr>
        <w:ind w:left="360" w:hanging="180"/>
      </w:pPr>
      <w:r>
        <w:rPr>
          <w:sz w:val="20"/>
          <w:szCs w:val="20"/>
        </w:rPr>
        <w:t xml:space="preserve">• **Warranty and liability limitations:** The technology is generally provided “as is”; the conformity warranty lasts **12 months** after delivery, and Hendricks’ aggregate liability is capped at license fees and royalties paid during the preceding **12 months**. Consequential, special, punitive, incidental, and similar damages are excluded (Sections 7.1, 7.3 and 8.3).</w:t>
      </w:r>
    </w:p>
    <w:p>
      <w:pPr>
        <w:ind w:left="360" w:hanging="180"/>
      </w:pPr>
      <w:r>
        <w:rPr>
          <w:sz w:val="20"/>
          <w:szCs w:val="20"/>
        </w:rPr>
        <w:t xml:space="preserve">• **Indemnity scope:** Hendricks’ IP indemnity applies to the technology as delivered and used within the licensed scope. Apex broadly indemnifies Hendricks for third-party claims relating to manufacture, sale, distribution, or marketing of Licensed Products, subject to the stated exception for defects in the Licensed Technology (Section 8).</w:t>
      </w:r>
    </w:p>
    <w:p>
      <w:pPr>
        <w:ind w:left="360" w:hanging="180"/>
      </w:pPr>
      <w:r>
        <w:rPr>
          <w:sz w:val="20"/>
          <w:szCs w:val="20"/>
        </w:rPr>
        <w:t xml:space="preserve">• **Confidentiality:** Transaction diligence disclosures to a buyer, financing sources, advisers, or integration personnel may require review under Section 6.1 and separate confidentiality arrangements. Confidentiality survives for **five years** after termination or expiration, while trade-secret protection continues for so long as information remains a trade secret (Section 6.3).</w:t>
      </w:r>
    </w:p>
    <w:p>
      <w:pPr>
        <w:pStyle w:val="Heading3"/>
      </w:pPr>
      <w:r>
        <w:rPr>
          <w:b/>
          <w:sz w:val="21"/>
          <w:szCs w:val="21"/>
        </w:rPr>
        <w:t xml:space="preserve">Risk rating</w:t>
      </w:r>
    </w:p>
    <w:p>
      <w:pPr>
        <w:spacing w:after="120" w:line="276" w:lineRule="auto"/>
      </w:pPr>
      <w:r>
        <w:rPr>
          <w:sz w:val="20"/>
          <w:szCs w:val="20"/>
        </w:rPr>
        <w:t xml:space="preserve">**High.** A majority stock acquisition, merger, sale of substantially all assets, or likely upstream change in ultimate control may create both a prohibited assignment under Section 10.1 and Hendricks’ unilateral right to terminate immediately under Section 9.1. The principal exposure is loss of the FlowLogic license, with only a **90-day** sell-off for inventory fully manufactured before termination and no right to manufacture new products.</w:t>
      </w:r>
    </w:p>
    <w:p>
      <w:pPr>
        <w:pStyle w:val="Heading3"/>
      </w:pPr>
      <w:r>
        <w:rPr>
          <w:b/>
          <w:sz w:val="21"/>
          <w:szCs w:val="21"/>
        </w:rPr>
        <w:t xml:space="preserve">Recommended diligence and closing actions</w:t>
      </w:r>
    </w:p>
    <w:p>
      <w:pPr>
        <w:ind w:left="360" w:hanging="180"/>
      </w:pPr>
      <w:r>
        <w:rPr>
          <w:sz w:val="20"/>
          <w:szCs w:val="20"/>
        </w:rPr>
        <w:t xml:space="preserve">1. **Make Hendricks’ executed written consent and protective amendment a condition to closing.** The document should approve the specific transaction, waive Section 9.1 termination rights, waive or consent to the deemed assignment under Section 10.1, confirm the identity of the post-closing licensee, and confirm continued effectiveness after closing.</w:t>
      </w:r>
    </w:p>
    <w:p>
      <w:pPr>
        <w:ind w:left="360" w:hanging="180"/>
      </w:pPr>
      <w:r>
        <w:rPr>
          <w:sz w:val="20"/>
          <w:szCs w:val="20"/>
        </w:rPr>
        <w:t xml:space="preserve">2. **Amend Sections 1.3, 9.1, 10.1 and 2.1** to permit the transaction, assignment to the buyer or successor, Affiliate and successor transfers, internal reorganizations, and ordinary-course ownership changes, with consent not to be unreasonably withheld.</w:t>
      </w:r>
    </w:p>
    <w:p>
      <w:pPr>
        <w:ind w:left="360" w:hanging="180"/>
      </w:pPr>
      <w:r>
        <w:rPr>
          <w:sz w:val="20"/>
          <w:szCs w:val="20"/>
        </w:rPr>
        <w:t xml:space="preserve">3. **Confirm the transaction structure**, including direct or indirect ownership changes, any acquisition of more than 50% of voting securities, mergers, upstream changes, asset sales, and any transfer of the AX-7000 business. Do not rely on forward, reverse, or triangular merger form to avoid Section 1.3.</w:t>
      </w:r>
    </w:p>
    <w:p>
      <w:pPr>
        <w:ind w:left="360" w:hanging="180"/>
      </w:pPr>
      <w:r>
        <w:rPr>
          <w:sz w:val="20"/>
          <w:szCs w:val="20"/>
        </w:rPr>
        <w:t xml:space="preserve">4. **Review historical compliance** for prior ownership changes, restructurings, mergers, asset dispositions, sublicenses, transfers, and any potential breach of Sections 2.1, 2.2 or 10.1.</w:t>
      </w:r>
    </w:p>
    <w:p>
      <w:pPr>
        <w:ind w:left="360" w:hanging="180"/>
      </w:pPr>
      <w:r>
        <w:rPr>
          <w:sz w:val="20"/>
          <w:szCs w:val="20"/>
        </w:rPr>
        <w:t xml:space="preserve">5. **Obtain an estoppel/compliance certificate** from Hendricks confirming no known default, no accrued termination right, and the continuing status of the license.</w:t>
      </w:r>
    </w:p>
    <w:p>
      <w:pPr>
        <w:ind w:left="360" w:hanging="180"/>
      </w:pPr>
      <w:r>
        <w:rPr>
          <w:sz w:val="20"/>
          <w:szCs w:val="20"/>
        </w:rPr>
        <w:t xml:space="preserve">6. **Diligence royalties and audit exposure**, including quarterly reports, payments, audit results, Net Sales Revenue calculations, Exhibit B deductions, interest, and disputed or unpaid amounts.</w:t>
      </w:r>
    </w:p>
    <w:p>
      <w:pPr>
        <w:ind w:left="360" w:hanging="180"/>
      </w:pPr>
      <w:r>
        <w:rPr>
          <w:sz w:val="20"/>
          <w:szCs w:val="20"/>
        </w:rPr>
        <w:t xml:space="preserve">7. **Obtain express post-closing rights** for use by Affiliates and group companies, sublicensing, contract manufacturing, and deployment beyond the AX-7000 Product Line.</w:t>
      </w:r>
    </w:p>
    <w:p>
      <w:pPr>
        <w:ind w:left="360" w:hanging="180"/>
      </w:pPr>
      <w:r>
        <w:rPr>
          <w:sz w:val="20"/>
          <w:szCs w:val="20"/>
        </w:rPr>
        <w:t xml:space="preserve">8. **Address ERP migration** through an amendment covering successor-platform compatibility, support, costs, delivery obligations, and responsibility if Crestline is discontinued or replaced.</w:t>
      </w:r>
    </w:p>
    <w:p>
      <w:pPr>
        <w:ind w:left="360" w:hanging="180"/>
      </w:pPr>
      <w:r>
        <w:rPr>
          <w:sz w:val="20"/>
          <w:szCs w:val="20"/>
        </w:rPr>
        <w:t xml:space="preserve">9. **Quantify inventory and continuity exposure**, including inventory eligible for only the 90-day sell-off, and consider representations, indemnities, escrow, or purchase-price protection for an undisclosed or post-closing termination.</w:t>
      </w:r>
    </w:p>
    <w:p>
      <w:pPr>
        <w:ind w:left="360" w:hanging="180"/>
      </w:pPr>
      <w:r>
        <w:rPr>
          <w:sz w:val="20"/>
          <w:szCs w:val="20"/>
        </w:rPr>
        <w:t xml:space="preserve">10. **Confirm confidentiality compliance** for diligence disclosures to the buyer, financing sources, advisers, and integration personnel, using appropriate NDAs or consents where required.</w:t>
      </w:r>
    </w:p>
    <w:p>
      <w:pPr>
        <w:pStyle w:val="Heading1"/>
      </w:pPr>
      <w:r>
        <w:rPr>
          <w:b/>
          <w:sz w:val="28"/>
          <w:szCs w:val="28"/>
        </w:rPr>
        <w:t xml:space="preserve">Hesse Employment Agreement</w:t>
      </w:r>
    </w:p>
    <w:p>
      <w:r>
        <w:rPr>
          <w:i/>
          <w:sz w:val="18"/>
          <w:szCs w:val="18"/>
        </w:rPr>
        <w:t xml:space="preserve">Source file: hesse-employment-agreement.docx.txt</w:t>
      </w:r>
    </w:p>
    <w:p>
      <w:pPr>
        <w:pStyle w:val="Heading2"/>
      </w:pPr>
      <w:r>
        <w:rPr>
          <w:b/>
          <w:sz w:val="24"/>
          <w:szCs w:val="24"/>
        </w:rPr>
        <w:t xml:space="preserve">Change-of-Control Diligence</w:t>
      </w:r>
    </w:p>
    <w:p>
      <w:pPr>
        <w:pStyle w:val="Heading3"/>
      </w:pPr>
      <w:r>
        <w:rPr>
          <w:b/>
          <w:sz w:val="21"/>
          <w:szCs w:val="21"/>
        </w:rPr>
        <w:t xml:space="preserve">Parties and transaction context</w:t>
      </w:r>
    </w:p>
    <w:p>
      <w:pPr>
        <w:spacing w:after="120" w:line="276" w:lineRule="auto"/>
      </w:pPr>
      <w:r>
        <w:rPr>
          <w:sz w:val="20"/>
          <w:szCs w:val="20"/>
        </w:rPr>
        <w:t xml:space="preserve">The reviewed document is the Employment Agreement between **Apex Industrial Technologies, Inc.** (the “Company”) and **Hesse** (the “Executive”), Agreement No. **EA-2021-003-MH**, dated **August 15, 2021**, together with **Exhibit A, Side Letter Agreement re: Treatment of Equity Awards in Connection with Proposed Merger**, dated **March 14, 2025**. The proposed transaction is described as a merger in which **Merger Sub merges into the Company, with the Company surviving as a wholly owned subsidiary of Parent**. Exhibit A expressly acknowledges that the merger constitutes a “Change of Control” under Section 1.</w:t>
      </w:r>
    </w:p>
    <w:p>
      <w:pPr>
        <w:pStyle w:val="Heading3"/>
      </w:pPr>
      <w:r>
        <w:rPr>
          <w:b/>
          <w:sz w:val="21"/>
          <w:szCs w:val="21"/>
        </w:rPr>
        <w:t xml:space="preserve">Express Change-of-Control triggers</w:t>
      </w:r>
    </w:p>
    <w:p>
      <w:pPr>
        <w:spacing w:after="120" w:line="276" w:lineRule="auto"/>
      </w:pPr>
      <w:r>
        <w:rPr>
          <w:sz w:val="20"/>
          <w:szCs w:val="20"/>
        </w:rPr>
        <w:t xml:space="preserve">Under **Section 1 — Definitions**, “Change of Control” occurs upon any of the following:</w:t>
      </w:r>
    </w:p>
    <w:p>
      <w:pPr>
        <w:ind w:left="360" w:hanging="180"/>
      </w:pPr>
      <w:r>
        <w:rPr>
          <w:sz w:val="20"/>
          <w:szCs w:val="20"/>
        </w:rPr>
        <w:t xml:space="preserve">1. **Merger, consolidation, reorganization or similar business combination:**</w:t>
      </w:r>
    </w:p>
    <w:p>
      <w:pPr>
        <w:ind w:left="360" w:hanging="180"/>
      </w:pPr>
      <w:r>
        <w:rPr>
          <w:sz w:val="20"/>
          <w:szCs w:val="20"/>
        </w:rPr>
        <w:t xml:space="preserve">• the Company is not the surviving entity; or</w:t>
      </w:r>
    </w:p>
    <w:p>
      <w:pPr>
        <w:ind w:left="360" w:hanging="180"/>
      </w:pPr>
      <w:r>
        <w:rPr>
          <w:sz w:val="20"/>
          <w:szCs w:val="20"/>
        </w:rPr>
        <w:t xml:space="preserve">• the Company survives but holders of the Company’s outstanding voting securities immediately before the transaction hold **less than 50%** of the outstanding voting securities of the surviving or resulting entity immediately after the transaction.</w:t>
      </w:r>
    </w:p>
    <w:p>
      <w:pPr>
        <w:ind w:left="360" w:hanging="180"/>
      </w:pPr>
      <w:r>
        <w:rPr>
          <w:sz w:val="20"/>
          <w:szCs w:val="20"/>
        </w:rPr>
        <w:t xml:space="preserve">2. **Asset sale:** The sale, transfer or other disposition of **all or substantially all** of the Company’s assets.</w:t>
      </w:r>
    </w:p>
    <w:p>
      <w:pPr>
        <w:ind w:left="360" w:hanging="180"/>
      </w:pPr>
      <w:r>
        <w:rPr>
          <w:sz w:val="20"/>
          <w:szCs w:val="20"/>
        </w:rPr>
        <w:t xml:space="preserve">3. **Voting-power acquisition:** Any person or group, within the meaning of **Section 13(d)(3) of the Securities Exchange Act of 1934, as amended**, acquires beneficial ownership of **more than 50%** of the combined voting power of the Company’s then-outstanding voting securities. The threshold is **more than 50%**, not 50% or more. The language does not expressly say “direct” or “indirect,” but its beneficial-ownership and person/group concepts may capture indirect or coordinated ownership arrangements.</w:t>
      </w:r>
    </w:p>
    <w:p>
      <w:pPr>
        <w:ind w:left="360" w:hanging="180"/>
      </w:pPr>
      <w:r>
        <w:rPr>
          <w:sz w:val="20"/>
          <w:szCs w:val="20"/>
        </w:rPr>
        <w:t xml:space="preserve">4. **Board-control change:** During any period of **24 consecutive months**, the individuals who constituted the Board at the beginning of that period cease, for any reason, to constitute a majority of the Board. There is no incumbent-director or Board-approval exception.</w:t>
      </w:r>
    </w:p>
    <w:p>
      <w:pPr>
        <w:spacing w:after="120" w:line="276" w:lineRule="auto"/>
      </w:pPr>
      <w:r>
        <w:rPr>
          <w:sz w:val="20"/>
          <w:szCs w:val="20"/>
        </w:rPr>
        <w:t xml:space="preserve">The definition contains no express carve-outs for internal reorganizations, Affiliate transfers, recapitalizations, employee benefit plans, transactions involving existing shareholders, or transactions in which the same ultimate owners retain control. “Affiliate” separately includes entities directly or indirectly controlling, controlled by, or under common control with the Company, but that definition does not itself create an additional Change-of-Control trigger. An upstream parent or ultimate-owner change is not expressly covered unless it also produces one of the specified events.</w:t>
      </w:r>
    </w:p>
    <w:p>
      <w:pPr>
        <w:pStyle w:val="Heading3"/>
      </w:pPr>
      <w:r>
        <w:rPr>
          <w:b/>
          <w:sz w:val="21"/>
          <w:szCs w:val="21"/>
        </w:rPr>
        <w:t xml:space="preserve">Treatment of transaction structures</w:t>
      </w:r>
    </w:p>
    <w:p>
      <w:pPr>
        <w:ind w:left="360" w:hanging="180"/>
      </w:pPr>
      <w:r>
        <w:rPr>
          <w:sz w:val="20"/>
          <w:szCs w:val="20"/>
        </w:rPr>
        <w:t xml:space="preserve">• **Stock acquisition:** An acquisition of **more than 50%** of the Company’s voting power is expressly covered. An acquisition of 50% or less is not expressly covered unless another trigger applies, such as a qualifying Board change.</w:t>
      </w:r>
    </w:p>
    <w:p>
      <w:pPr>
        <w:ind w:left="360" w:hanging="180"/>
      </w:pPr>
      <w:r>
        <w:rPr>
          <w:sz w:val="20"/>
          <w:szCs w:val="20"/>
        </w:rPr>
        <w:t xml:space="preserve">• **Merger:** Covered if the Company does not survive or if pre-transaction shareholders retain less than 50% of the surviving/resulting entity’s voting securities. Exhibit A confirms that the proposed merger is a Change of Control even though the Company survives as a Parent subsidiary.</w:t>
      </w:r>
    </w:p>
    <w:p>
      <w:pPr>
        <w:ind w:left="360" w:hanging="180"/>
      </w:pPr>
      <w:r>
        <w:rPr>
          <w:sz w:val="20"/>
          <w:szCs w:val="20"/>
        </w:rPr>
        <w:t xml:space="preserve">• **Asset sale:** A sale of **all or substantially all** assets is covered. A sale of a division, subsidiary, product line or lesser asset package is not expressly covered by this prong.</w:t>
      </w:r>
    </w:p>
    <w:p>
      <w:pPr>
        <w:ind w:left="360" w:hanging="180"/>
      </w:pPr>
      <w:r>
        <w:rPr>
          <w:sz w:val="20"/>
          <w:szCs w:val="20"/>
        </w:rPr>
        <w:t xml:space="preserve">• **Indirect/upstream transaction:** No standalone parent-level or upstream trigger. Coverage depends on whether the transaction results in a specified direct or indirect voting acquisition, merger, asset sale or Board change involving the Company.</w:t>
      </w:r>
    </w:p>
    <w:p>
      <w:pPr>
        <w:ind w:left="360" w:hanging="180"/>
      </w:pPr>
      <w:r>
        <w:rPr>
          <w:sz w:val="20"/>
          <w:szCs w:val="20"/>
        </w:rPr>
        <w:t xml:space="preserve">• **Management/Board control:** A majority Board turnover within a **24-month** period independently triggers the provisions, regardless of whether caused by a transaction, resignation, removal or appointment.</w:t>
      </w:r>
    </w:p>
    <w:p>
      <w:pPr>
        <w:pStyle w:val="Heading3"/>
      </w:pPr>
      <w:r>
        <w:rPr>
          <w:b/>
          <w:sz w:val="21"/>
          <w:szCs w:val="21"/>
        </w:rPr>
        <w:t xml:space="preserve">Assignment and transfer restrictions</w:t>
      </w:r>
    </w:p>
    <w:p>
      <w:pPr>
        <w:spacing w:after="120" w:line="276" w:lineRule="auto"/>
      </w:pPr>
      <w:r>
        <w:rPr>
          <w:sz w:val="20"/>
          <w:szCs w:val="20"/>
        </w:rPr>
        <w:t xml:space="preserve">Under **Section 8.3**, the Executive may not assign, delegate or otherwise transfer the Agreement or her rights or obligations without the Company’s prior written consent. The Company may assign the Agreement to a successor to all or substantially all of its business or assets, by merger, consolidation, asset sale or otherwise, provided the successor **expressly assumes and agrees to perform** the Company’s obligations.</w:t>
      </w:r>
    </w:p>
    <w:p>
      <w:pPr>
        <w:spacing w:after="120" w:line="276" w:lineRule="auto"/>
      </w:pPr>
      <w:r>
        <w:rPr>
          <w:sz w:val="20"/>
          <w:szCs w:val="20"/>
        </w:rPr>
        <w:t xml:space="preserve">A stock acquisition ordinarily leaves the Company as the contractual employer and does not require an assignment. The Agreement does not expressly authorize assignment in an upstream transaction and does not state that a Change of Control itself constitutes an assignment. The successor-assumption requirement should be addressed in the merger agreement, assumption agreement or closing documents.</w:t>
      </w:r>
    </w:p>
    <w:p>
      <w:pPr>
        <w:spacing w:after="120" w:line="276" w:lineRule="auto"/>
      </w:pPr>
      <w:r>
        <w:rPr>
          <w:sz w:val="20"/>
          <w:szCs w:val="20"/>
        </w:rPr>
        <w:t xml:space="preserve">Under **Sections 8.1 and 8.2**, the Agreement includes the applicable equity award agreements and Exhibit A, and amendments or waivers require a written instrument signed by both the Company and Executive.</w:t>
      </w:r>
    </w:p>
    <w:p>
      <w:pPr>
        <w:pStyle w:val="Heading3"/>
      </w:pPr>
      <w:r>
        <w:rPr>
          <w:b/>
          <w:sz w:val="21"/>
          <w:szCs w:val="21"/>
        </w:rPr>
        <w:t xml:space="preserve">Consent, notice and timing requirements</w:t>
      </w:r>
    </w:p>
    <w:p>
      <w:pPr>
        <w:ind w:left="360" w:hanging="180"/>
      </w:pPr>
      <w:r>
        <w:rPr>
          <w:sz w:val="20"/>
          <w:szCs w:val="20"/>
        </w:rPr>
        <w:t xml:space="preserve">• **Section 5.1 notice:** The Company must provide written notice of any anticipated Change of Control at least **15 business days before expected consummation**, describing the transaction in reasonable detail. Section 8.7 permits personal delivery, nationally recognized overnight courier (effective one business day after deposit), or certified mail, return receipt requested (effective three business days after mailing).</w:t>
      </w:r>
    </w:p>
    <w:p>
      <w:pPr>
        <w:ind w:left="360" w:hanging="180"/>
      </w:pPr>
      <w:r>
        <w:rPr>
          <w:sz w:val="20"/>
          <w:szCs w:val="20"/>
        </w:rPr>
        <w:t xml:space="preserve">• **Exhibit A, Section 4:** Section **7.03(c)** of the Merger Agreement may require Executive’s consent to the RSU rollover or waiver of Section 5.4 acceleration as a “Required Consent,” due at least **five business days before the Closing Date**. Exhibit A does not itself provide that consent.</w:t>
      </w:r>
    </w:p>
    <w:p>
      <w:pPr>
        <w:ind w:left="360" w:hanging="180"/>
      </w:pPr>
      <w:r>
        <w:rPr>
          <w:sz w:val="20"/>
          <w:szCs w:val="20"/>
        </w:rPr>
        <w:t xml:space="preserve">• **Exhibit A, Section 3:** The parties agreed to negotiate in good faith before the expected closing date of **August 29, 2025** regarding the RSU conflict. This is not a waiver or amendment.</w:t>
      </w:r>
    </w:p>
    <w:p>
      <w:pPr>
        <w:ind w:left="360" w:hanging="180"/>
      </w:pPr>
      <w:r>
        <w:rPr>
          <w:sz w:val="20"/>
          <w:szCs w:val="20"/>
        </w:rPr>
        <w:t xml:space="preserve">• **Good Reason:** Executive must give written notice within **30 days** after the condition first occurs, provide a **30-day** cure period, and resign within **30 days** after the cure period expires.</w:t>
      </w:r>
    </w:p>
    <w:p>
      <w:pPr>
        <w:ind w:left="360" w:hanging="180"/>
      </w:pPr>
      <w:r>
        <w:rPr>
          <w:sz w:val="20"/>
          <w:szCs w:val="20"/>
        </w:rPr>
        <w:t xml:space="preserve">• **Outside Change of Control:** Termination without Cause requires at least **30 days’** prior written notice under Section 6.2; resignation without Good Reason requires at least **60 days’** prior written notice under Section 6.4.</w:t>
      </w:r>
    </w:p>
    <w:p>
      <w:pPr>
        <w:pStyle w:val="Heading3"/>
      </w:pPr>
      <w:r>
        <w:rPr>
          <w:b/>
          <w:sz w:val="21"/>
          <w:szCs w:val="21"/>
        </w:rPr>
        <w:t xml:space="preserve">Economic consequences and remedies</w:t>
      </w:r>
    </w:p>
    <w:p>
      <w:pPr>
        <w:spacing w:after="120" w:line="276" w:lineRule="auto"/>
      </w:pPr>
      <w:r>
        <w:rPr>
          <w:sz w:val="20"/>
          <w:szCs w:val="20"/>
        </w:rPr>
        <w:t xml:space="preserve">#### Single-trigger equity acceleration</w:t>
      </w:r>
    </w:p>
    <w:p>
      <w:pPr>
        <w:spacing w:after="120" w:line="276" w:lineRule="auto"/>
      </w:pPr>
      <w:r>
        <w:rPr>
          <w:sz w:val="20"/>
          <w:szCs w:val="20"/>
        </w:rPr>
        <w:t xml:space="preserve">Under **Section 5.4**, upon consummation of a Change of Control, **all then-unvested Equity Awards immediately and automatically vest** and, where applicable, become exercisable in full. No termination is required, and the provision supersedes contrary terms in individual award agreements or equity plans.</w:t>
      </w:r>
    </w:p>
    <w:p>
      <w:pPr>
        <w:spacing w:after="120" w:line="276" w:lineRule="auto"/>
      </w:pPr>
      <w:r>
        <w:rPr>
          <w:sz w:val="20"/>
          <w:szCs w:val="20"/>
        </w:rPr>
        <w:t xml:space="preserve">Exhibit A expressly acknowledges a conflict between Section 5.4 and the Merger Agreement’s intended rollover of unvested Company RSUs into unvested Parent RSUs on the existing vesting schedule. As of **March 14, 2025**, the Executive held:</w:t>
      </w:r>
    </w:p>
    <w:p>
      <w:pPr>
        <w:ind w:left="360" w:hanging="180"/>
      </w:pPr>
      <w:r>
        <w:rPr>
          <w:sz w:val="20"/>
          <w:szCs w:val="20"/>
        </w:rPr>
        <w:t xml:space="preserve">• **45,000 unvested Company RSUs**;</w:t>
      </w:r>
    </w:p>
    <w:p>
      <w:pPr>
        <w:ind w:left="360" w:hanging="180"/>
      </w:pPr>
      <w:r>
        <w:rPr>
          <w:sz w:val="20"/>
          <w:szCs w:val="20"/>
        </w:rPr>
        <w:t xml:space="preserve">• approximately **14,139 Parent RSUs** based on a **0.3142 exchange ratio**, if rolled over; or</w:t>
      </w:r>
    </w:p>
    <w:p>
      <w:pPr>
        <w:ind w:left="360" w:hanging="180"/>
      </w:pPr>
      <w:r>
        <w:rPr>
          <w:sz w:val="20"/>
          <w:szCs w:val="20"/>
        </w:rPr>
        <w:t xml:space="preserve">• immediate vesting under Section 5.4, described as approximately **14,139 Parent shares** with an implied aggregate value of approximately **$967,230**, based on a Parent 30-day VWAP of **$68.42** and implied per-Company-share value of **$21.494**.</w:t>
      </w:r>
    </w:p>
    <w:p>
      <w:pPr>
        <w:spacing w:after="120" w:line="276" w:lineRule="auto"/>
      </w:pPr>
      <w:r>
        <w:rPr>
          <w:sz w:val="20"/>
          <w:szCs w:val="20"/>
        </w:rPr>
        <w:t xml:space="preserve">Exhibit A states that Section 5.4 remains in full force and has not been amended or waived. It does not establish replacement consideration, rollover treatment or a definitive settlement. The documents therefore presently favor acceleration at closing unless the parties execute a separate waiver, amendment, settlement or other enforceable resolution.</w:t>
      </w:r>
    </w:p>
    <w:p>
      <w:pPr>
        <w:spacing w:after="120" w:line="276" w:lineRule="auto"/>
      </w:pPr>
      <w:r>
        <w:rPr>
          <w:sz w:val="20"/>
          <w:szCs w:val="20"/>
        </w:rPr>
        <w:t xml:space="preserve">#### Double-trigger severance</w:t>
      </w:r>
    </w:p>
    <w:p>
      <w:pPr>
        <w:spacing w:after="120" w:line="276" w:lineRule="auto"/>
      </w:pPr>
      <w:r>
        <w:rPr>
          <w:sz w:val="20"/>
          <w:szCs w:val="20"/>
        </w:rPr>
        <w:t xml:space="preserve">Under **Section 5.3**, a “Qualifying Termination” occurs if, within the **24-month** period following consummation of a Change of Control, the Company or successor terminates the Executive without Cause or the Executive resigns for Good Reason. Benefits, in addition to Accrued Obligations, include:</w:t>
      </w:r>
    </w:p>
    <w:p>
      <w:pPr>
        <w:ind w:left="360" w:hanging="180"/>
      </w:pPr>
      <w:r>
        <w:rPr>
          <w:sz w:val="20"/>
          <w:szCs w:val="20"/>
        </w:rPr>
        <w:t xml:space="preserve">• lump-sum cash severance equal to **2.0 times** Base Salary plus Target Bonus, stated as **$1,232,000**, calculated from:</w:t>
      </w:r>
    </w:p>
    <w:p>
      <w:pPr>
        <w:ind w:left="360" w:hanging="180"/>
      </w:pPr>
      <w:r>
        <w:rPr>
          <w:sz w:val="20"/>
          <w:szCs w:val="20"/>
        </w:rPr>
        <w:t xml:space="preserve">• Base Salary: **$385,000**;</w:t>
      </w:r>
    </w:p>
    <w:p>
      <w:pPr>
        <w:ind w:left="360" w:hanging="180"/>
      </w:pPr>
      <w:r>
        <w:rPr>
          <w:sz w:val="20"/>
          <w:szCs w:val="20"/>
        </w:rPr>
        <w:t xml:space="preserve">• Target Bonus: **$231,000**;</w:t>
      </w:r>
    </w:p>
    <w:p>
      <w:pPr>
        <w:ind w:left="360" w:hanging="180"/>
      </w:pPr>
      <w:r>
        <w:rPr>
          <w:sz w:val="20"/>
          <w:szCs w:val="20"/>
        </w:rPr>
        <w:t xml:space="preserve">• 2.0x aggregate: **$1,232,000**;</w:t>
      </w:r>
    </w:p>
    <w:p>
      <w:pPr>
        <w:ind w:left="360" w:hanging="180"/>
      </w:pPr>
      <w:r>
        <w:rPr>
          <w:sz w:val="20"/>
          <w:szCs w:val="20"/>
        </w:rPr>
        <w:t xml:space="preserve">• Company-paid health coverage for **24 months**, or monthly cash equal to the applicable COBRA premium if plan continuation is unavailable;</w:t>
      </w:r>
    </w:p>
    <w:p>
      <w:pPr>
        <w:ind w:left="360" w:hanging="180"/>
      </w:pPr>
      <w:r>
        <w:rPr>
          <w:sz w:val="20"/>
          <w:szCs w:val="20"/>
        </w:rPr>
        <w:t xml:space="preserve">• a pro rata bonus for the termination year based on actual Company performance, payable when bonuses are paid to other senior executives; and</w:t>
      </w:r>
    </w:p>
    <w:p>
      <w:pPr>
        <w:ind w:left="360" w:hanging="180"/>
      </w:pPr>
      <w:r>
        <w:rPr>
          <w:sz w:val="20"/>
          <w:szCs w:val="20"/>
        </w:rPr>
        <w:t xml:space="preserve">• acceleration of all then-unvested Equity Awards as of the Qualifying Termination date, to the extent not already accelerated under Section 5.4.</w:t>
      </w:r>
    </w:p>
    <w:p>
      <w:pPr>
        <w:spacing w:after="120" w:line="276" w:lineRule="auto"/>
      </w:pPr>
      <w:r>
        <w:rPr>
          <w:sz w:val="20"/>
          <w:szCs w:val="20"/>
        </w:rPr>
        <w:t xml:space="preserve">Section 5.2 does not guarantee continued employment following a Change of Control. Section 5.6 prevents duplication between Sections 5 and 6 and prevents awards accelerated under Section 5.4 from accelerating again under Section 5.3(d).</w:t>
      </w:r>
    </w:p>
    <w:p>
      <w:pPr>
        <w:spacing w:after="120" w:line="276" w:lineRule="auto"/>
      </w:pPr>
      <w:r>
        <w:rPr>
          <w:sz w:val="20"/>
          <w:szCs w:val="20"/>
        </w:rPr>
        <w:t xml:space="preserve">#### 280G, release and payment limitations</w:t>
      </w:r>
    </w:p>
    <w:p>
      <w:pPr>
        <w:spacing w:after="120" w:line="276" w:lineRule="auto"/>
      </w:pPr>
      <w:r>
        <w:rPr>
          <w:sz w:val="20"/>
          <w:szCs w:val="20"/>
        </w:rPr>
        <w:t xml:space="preserve">Under **Section 5.5**, payments are reduced only if the Executive would receive a greater net after-tax amount after reduction than without reduction and payment of the Section 4999 excise tax. Reductions apply first to cash severance, then other cash payments or benefits, and finally Equity Award acceleration. The Executive bears applicable Section 4999 taxes to the extent payments are not reduced.</w:t>
      </w:r>
    </w:p>
    <w:p>
      <w:pPr>
        <w:spacing w:after="120" w:line="276" w:lineRule="auto"/>
      </w:pPr>
      <w:r>
        <w:rPr>
          <w:sz w:val="20"/>
          <w:szCs w:val="20"/>
        </w:rPr>
        <w:t xml:space="preserve">Severance under Sections **5.3, 6.2 and 6.3** is conditioned on execution and non-revocation of a general release within **60 days** after termination. Section 5.4 equity acceleration is expressly **not** conditioned on a release. Section 8.8 may delay separation payments for a specified employee for **six months and one day** under Section 409A.</w:t>
      </w:r>
    </w:p>
    <w:p>
      <w:pPr>
        <w:spacing w:after="120" w:line="276" w:lineRule="auto"/>
      </w:pPr>
      <w:r>
        <w:rPr>
          <w:sz w:val="20"/>
          <w:szCs w:val="20"/>
        </w:rPr>
        <w:t xml:space="preserve">#### Other termination economics</w:t>
      </w:r>
    </w:p>
    <w:p>
      <w:pPr>
        <w:spacing w:after="120" w:line="276" w:lineRule="auto"/>
      </w:pPr>
      <w:r>
        <w:rPr>
          <w:sz w:val="20"/>
          <w:szCs w:val="20"/>
        </w:rPr>
        <w:t xml:space="preserve">Outside the Change-of-Control period:</w:t>
      </w:r>
    </w:p>
    <w:p>
      <w:pPr>
        <w:ind w:left="360" w:hanging="180"/>
      </w:pPr>
      <w:r>
        <w:rPr>
          <w:sz w:val="20"/>
          <w:szCs w:val="20"/>
        </w:rPr>
        <w:t xml:space="preserve">• termination for Cause produces only Accrued Obligations;</w:t>
      </w:r>
    </w:p>
    <w:p>
      <w:pPr>
        <w:ind w:left="360" w:hanging="180"/>
      </w:pPr>
      <w:r>
        <w:rPr>
          <w:sz w:val="20"/>
          <w:szCs w:val="20"/>
        </w:rPr>
        <w:t xml:space="preserve">• termination without Cause or resignation for Good Reason produces one times Base Salary, stated as **$385,000**, paid over **12 months**, plus **12 months** of Company-paid health coverage, subject to release;</w:t>
      </w:r>
    </w:p>
    <w:p>
      <w:pPr>
        <w:ind w:left="360" w:hanging="180"/>
      </w:pPr>
      <w:r>
        <w:rPr>
          <w:sz w:val="20"/>
          <w:szCs w:val="20"/>
        </w:rPr>
        <w:t xml:space="preserve">• death or Disability produces Accrued Obligations plus a pro rata Target Bonus; and</w:t>
      </w:r>
    </w:p>
    <w:p>
      <w:pPr>
        <w:ind w:left="360" w:hanging="180"/>
      </w:pPr>
      <w:r>
        <w:rPr>
          <w:sz w:val="20"/>
          <w:szCs w:val="20"/>
        </w:rPr>
        <w:t xml:space="preserve">• voluntary resignation without Good Reason produces only Accrued Obligations.</w:t>
      </w:r>
    </w:p>
    <w:p>
      <w:pPr>
        <w:spacing w:after="120" w:line="276" w:lineRule="auto"/>
      </w:pPr>
      <w:r>
        <w:rPr>
          <w:sz w:val="20"/>
          <w:szCs w:val="20"/>
        </w:rPr>
        <w:t xml:space="preserve">The Agreement contains no express put or call right, mandatory buy-out, fixed employment purchase price, transaction-related premium, guaranteed run-off employment period, or tail beyond the **24-month** post-closing severance window. It also contains no general consent right over a Change of Control and no right to terminate solely because of a Change of Control.</w:t>
      </w:r>
    </w:p>
    <w:p>
      <w:pPr>
        <w:pStyle w:val="Heading3"/>
      </w:pPr>
      <w:r>
        <w:rPr>
          <w:b/>
          <w:sz w:val="21"/>
          <w:szCs w:val="21"/>
        </w:rPr>
        <w:t xml:space="preserve">Other material transaction risks</w:t>
      </w:r>
    </w:p>
    <w:p>
      <w:pPr>
        <w:ind w:left="360" w:hanging="180"/>
      </w:pPr>
      <w:r>
        <w:rPr>
          <w:sz w:val="20"/>
          <w:szCs w:val="20"/>
        </w:rPr>
        <w:t xml:space="preserve">• **Unresolved RSU conflict:** Exhibit A preserves Section 5.4 and may make Executive’s consent a closing-related Required Consent.</w:t>
      </w:r>
    </w:p>
    <w:p>
      <w:pPr>
        <w:ind w:left="360" w:hanging="180"/>
      </w:pPr>
      <w:r>
        <w:rPr>
          <w:sz w:val="20"/>
          <w:szCs w:val="20"/>
        </w:rPr>
        <w:t xml:space="preserve">• **Good Reason exposure:** A post-closing material reduction in duties, authority or responsibilities; a Base Salary reduction of more than **10%**; relocation of the primary work location more than **50 miles** from the specified Cincinnati/Fairfield locations; or material Company breach could trigger severance.</w:t>
      </w:r>
    </w:p>
    <w:p>
      <w:pPr>
        <w:ind w:left="360" w:hanging="180"/>
      </w:pPr>
      <w:r>
        <w:rPr>
          <w:sz w:val="20"/>
          <w:szCs w:val="20"/>
        </w:rPr>
        <w:t xml:space="preserve">• **Board composition:** The post-closing Board should be tested against the independent **24-month** majority-turnover trigger.</w:t>
      </w:r>
    </w:p>
    <w:p>
      <w:pPr>
        <w:ind w:left="360" w:hanging="180"/>
      </w:pPr>
      <w:r>
        <w:rPr>
          <w:sz w:val="20"/>
          <w:szCs w:val="20"/>
        </w:rPr>
        <w:t xml:space="preserve">• **Cause documentation:** Cause includes material breach, willful misconduct or gross negligence, specified felony convictions or pleas, fraud, embezzlement or dishonesty materially affecting the Company or an Affiliate, and failure to perform duties after notice and a **30-day** cure period.</w:t>
      </w:r>
    </w:p>
    <w:p>
      <w:pPr>
        <w:ind w:left="360" w:hanging="180"/>
      </w:pPr>
      <w:r>
        <w:rPr>
          <w:sz w:val="20"/>
          <w:szCs w:val="20"/>
        </w:rPr>
        <w:t xml:space="preserve">• **Equity-document inconsistency:** Section 5.4 purports to supersede contrary equity-plan and award terms, while Section 3.3 subjects awards to applicable plans and award agreements. Priority and transaction treatment must be reconciled.</w:t>
      </w:r>
    </w:p>
    <w:p>
      <w:pPr>
        <w:ind w:left="360" w:hanging="180"/>
      </w:pPr>
      <w:r>
        <w:rPr>
          <w:sz w:val="20"/>
          <w:szCs w:val="20"/>
        </w:rPr>
        <w:t xml:space="preserve">• **Continuing obligations:** Confidentiality, intellectual-property and cooperation obligations survive termination; trade-secret obligations survive indefinitely and other confidentiality obligations survive **three years**.</w:t>
      </w:r>
    </w:p>
    <w:p>
      <w:pPr>
        <w:ind w:left="360" w:hanging="180"/>
      </w:pPr>
      <w:r>
        <w:rPr>
          <w:sz w:val="20"/>
          <w:szCs w:val="20"/>
        </w:rPr>
        <w:t xml:space="preserve">• **Restrictive covenants:** Section 7 imposes a **12-month** post-termination noncompetition restriction covering specified precision fluid-control valve, actuator and related automation businesses in the United States and countries where the Company conducted business during the preceding **12 months**, together with employee, customer, client and supplier nonsolicitation restrictions. Enforceability should be reviewed under Ohio law and relevant post-closing law.</w:t>
      </w:r>
    </w:p>
    <w:p>
      <w:pPr>
        <w:ind w:left="360" w:hanging="180"/>
      </w:pPr>
      <w:r>
        <w:rPr>
          <w:sz w:val="20"/>
          <w:szCs w:val="20"/>
        </w:rPr>
        <w:t xml:space="preserve">• **Disputes:** Section 8.5 requires AAA employment arbitration in Cincinnati, Ohio, with potential prevailing-party attorneys’ fees and costs.</w:t>
      </w:r>
    </w:p>
    <w:p>
      <w:pPr>
        <w:pStyle w:val="Heading3"/>
      </w:pPr>
      <w:r>
        <w:rPr>
          <w:b/>
          <w:sz w:val="21"/>
          <w:szCs w:val="21"/>
        </w:rPr>
        <w:t xml:space="preserve">Risk rating</w:t>
      </w:r>
    </w:p>
    <w:p>
      <w:pPr>
        <w:spacing w:after="120" w:line="276" w:lineRule="auto"/>
      </w:pPr>
      <w:r>
        <w:rPr>
          <w:sz w:val="20"/>
          <w:szCs w:val="20"/>
        </w:rPr>
        <w:t xml:space="preserve">**High.** The principal risks are automatic single-trigger acceleration of all unvested Equity Awards; unresolved merger-specific conflict involving approximately **45,000 Company RSUs / 14,139 Parent RSUs / $967,230** of stated value; potential Required Consent and closing-condition issues; up to **$1,232,000** of cash severance plus benefits and equity acceleration; 280G exposure; the broad Board-change trigger; and potential Good Reason claims following closing.</w:t>
      </w:r>
    </w:p>
    <w:p>
      <w:pPr>
        <w:pStyle w:val="Heading3"/>
      </w:pPr>
      <w:r>
        <w:rPr>
          <w:b/>
          <w:sz w:val="21"/>
          <w:szCs w:val="21"/>
        </w:rPr>
        <w:t xml:space="preserve">Recommended diligence and closing actions</w:t>
      </w:r>
    </w:p>
    <w:p>
      <w:pPr>
        <w:ind w:left="360" w:hanging="180"/>
      </w:pPr>
      <w:r>
        <w:rPr>
          <w:sz w:val="20"/>
          <w:szCs w:val="20"/>
        </w:rPr>
        <w:t xml:space="preserve">1. Collect and review the 2021 Equity Incentive Plan, all award agreements, capitalization records, the Merger Agreement, particularly **Section 3.05 and Schedule 7.03(c)**, and all related employment or compensation arrangements.</w:t>
      </w:r>
    </w:p>
    <w:p>
      <w:pPr>
        <w:ind w:left="360" w:hanging="180"/>
      </w:pPr>
      <w:r>
        <w:rPr>
          <w:sz w:val="20"/>
          <w:szCs w:val="20"/>
        </w:rPr>
        <w:t xml:space="preserve">2. Resolve the Section 5.4 conflict before closing through a written waiver, amendment, settlement or other definitive agreement signed by the Company and Executive. Address acceleration versus rollover, replacement consideration, future vesting, tax withholding, and treatment if the merger is delayed or terminated.</w:t>
      </w:r>
    </w:p>
    <w:p>
      <w:pPr>
        <w:ind w:left="360" w:hanging="180"/>
      </w:pPr>
      <w:r>
        <w:rPr>
          <w:sz w:val="20"/>
          <w:szCs w:val="20"/>
        </w:rPr>
        <w:t xml:space="preserve">3. Confirm whether Executive’s consent is listed as a Required Consent and obtain it at least **five business days before closing**, or earlier as a practical matter.</w:t>
      </w:r>
    </w:p>
    <w:p>
      <w:pPr>
        <w:ind w:left="360" w:hanging="180"/>
      </w:pPr>
      <w:r>
        <w:rPr>
          <w:sz w:val="20"/>
          <w:szCs w:val="20"/>
        </w:rPr>
        <w:t xml:space="preserve">4. Do not rely on Exhibit A as a waiver; it expressly preserves Section 5.4.</w:t>
      </w:r>
    </w:p>
    <w:p>
      <w:pPr>
        <w:ind w:left="360" w:hanging="180"/>
      </w:pPr>
      <w:r>
        <w:rPr>
          <w:sz w:val="20"/>
          <w:szCs w:val="20"/>
        </w:rPr>
        <w:t xml:space="preserve">5. Deliver the Section 5.1 Change-of-Control notice at least **15 business days** before expected closing using the Section 8.7 procedures.</w:t>
      </w:r>
    </w:p>
    <w:p>
      <w:pPr>
        <w:ind w:left="360" w:hanging="180"/>
      </w:pPr>
      <w:r>
        <w:rPr>
          <w:sz w:val="20"/>
          <w:szCs w:val="20"/>
        </w:rPr>
        <w:t xml:space="preserve">6. Obtain an express successor assumption under Section 8.3 where applicable.</w:t>
      </w:r>
    </w:p>
    <w:p>
      <w:pPr>
        <w:ind w:left="360" w:hanging="180"/>
      </w:pPr>
      <w:r>
        <w:rPr>
          <w:sz w:val="20"/>
          <w:szCs w:val="20"/>
        </w:rPr>
        <w:t xml:space="preserve">7. Model the full exposure, including **$1,232,000** cash severance, **24 months** of health coverage or COBRA-equivalent payments, pro rata bonus, equity acceleration, 280G effects and Section 409A payment timing.</w:t>
      </w:r>
    </w:p>
    <w:p>
      <w:pPr>
        <w:ind w:left="360" w:hanging="180"/>
      </w:pPr>
      <w:r>
        <w:rPr>
          <w:sz w:val="20"/>
          <w:szCs w:val="20"/>
        </w:rPr>
        <w:t xml:space="preserve">8. Confirm post-closing duties, authority, reporting, compensation and work location to minimize Good Reason exposure, and analyze post-closing Board composition against the **24-month** trigger.</w:t>
      </w:r>
    </w:p>
    <w:p>
      <w:pPr>
        <w:ind w:left="360" w:hanging="180"/>
      </w:pPr>
      <w:r>
        <w:rPr>
          <w:sz w:val="20"/>
          <w:szCs w:val="20"/>
        </w:rPr>
        <w:t xml:space="preserve">9. Preserve and document confidentiality, IP, restrictive-covenant and cooperation rights in successor or amended employment arrangements.</w:t>
      </w:r>
    </w:p>
    <w:p>
      <w:pPr>
        <w:ind w:left="360" w:hanging="180"/>
      </w:pPr>
      <w:r>
        <w:rPr>
          <w:sz w:val="20"/>
          <w:szCs w:val="20"/>
        </w:rPr>
        <w:t xml:space="preserve">10. Complete the acceleration and consent issues before closing rather than deferring them to potential Cincinnati AAA arbitration.</w:t>
      </w:r>
    </w:p>
    <w:p>
      <w:pPr>
        <w:pStyle w:val="Heading1"/>
      </w:pPr>
      <w:r>
        <w:rPr>
          <w:b/>
          <w:sz w:val="28"/>
          <w:szCs w:val="28"/>
        </w:rPr>
        <w:t xml:space="preserve">Crescent Ridge Headquarters Lease</w:t>
      </w:r>
    </w:p>
    <w:p>
      <w:r>
        <w:rPr>
          <w:i/>
          <w:sz w:val="18"/>
          <w:szCs w:val="18"/>
        </w:rPr>
        <w:t xml:space="preserve">Source file: hq-lease-crescent-ridge.docx.txt</w:t>
      </w:r>
    </w:p>
    <w:p>
      <w:pPr>
        <w:pStyle w:val="Heading2"/>
      </w:pPr>
      <w:r>
        <w:rPr>
          <w:b/>
          <w:sz w:val="24"/>
          <w:szCs w:val="24"/>
        </w:rPr>
        <w:t xml:space="preserve">Change-of-Control and Assignment</w:t>
      </w:r>
    </w:p>
    <w:p>
      <w:pPr>
        <w:pStyle w:val="Heading3"/>
      </w:pPr>
      <w:r>
        <w:rPr>
          <w:b/>
          <w:sz w:val="21"/>
          <w:szCs w:val="21"/>
        </w:rPr>
        <w:t xml:space="preserve">Parties and context</w:t>
      </w:r>
    </w:p>
    <w:p>
      <w:pPr>
        <w:spacing w:after="120" w:line="276" w:lineRule="auto"/>
      </w:pPr>
      <w:r>
        <w:rPr>
          <w:sz w:val="20"/>
          <w:szCs w:val="20"/>
        </w:rPr>
        <w:t xml:space="preserve">The Commercial Lease Agreement, Lease No. CRR-2018-4200-600, is dated July 1, 2018, between Crescent Ridge Realty Partners, LP, as landlord (“Landlord”), and Apex Industrial Technologies, Inc., as tenant (“Tenant”). Section 22 (“Assignment and Subletting”) contains an expressly negotiated change-of-control regime. The Lease is high risk for transaction purposes because Section 22.2 broadly treats direct and indirect changes of control, specified equity transactions, mergers, reorganizations, and sales of substantially all assets as “Deemed Assignments” requiring Landlord’s prior written consent.</w:t>
      </w:r>
    </w:p>
    <w:p>
      <w:pPr>
        <w:pStyle w:val="Heading3"/>
      </w:pPr>
      <w:r>
        <w:rPr>
          <w:b/>
          <w:sz w:val="21"/>
          <w:szCs w:val="21"/>
        </w:rPr>
        <w:t xml:space="preserve">Express triggers and scope</w:t>
      </w:r>
    </w:p>
    <w:p>
      <w:pPr>
        <w:spacing w:after="120" w:line="276" w:lineRule="auto"/>
      </w:pPr>
      <w:r>
        <w:rPr>
          <w:sz w:val="20"/>
          <w:szCs w:val="20"/>
        </w:rPr>
        <w:t xml:space="preserve">Under Section 22.2 (“Deemed Assignment”), each of the following requires Landlord’s prior written consent under Section 22.1:</w:t>
      </w:r>
    </w:p>
    <w:p>
      <w:pPr>
        <w:ind w:left="360" w:hanging="180"/>
      </w:pPr>
      <w:r>
        <w:rPr>
          <w:sz w:val="20"/>
          <w:szCs w:val="20"/>
        </w:rPr>
        <w:t xml:space="preserve">• **Direct change of control, merger, consolidation, or controlling equity transfer:** Any change in control of Tenant, including any merger, consolidation, or transfer of a controlling interest in Tenant’s equity, whether in one transaction or a series of related transactions.</w:t>
      </w:r>
    </w:p>
    <w:p>
      <w:pPr>
        <w:ind w:left="360" w:hanging="180"/>
      </w:pPr>
      <w:r>
        <w:rPr>
          <w:sz w:val="20"/>
          <w:szCs w:val="20"/>
        </w:rPr>
        <w:t xml:space="preserve">• **Equity transfers, issuances, or redemptions:** Any transfer, issuance, or redemption of equity interests in Tenant, or any transfer of equity interests in an entity that directly or indirectly controls Tenant, that changes the identity of the person or group controlling Tenant.</w:t>
      </w:r>
    </w:p>
    <w:p>
      <w:pPr>
        <w:ind w:left="360" w:hanging="180"/>
      </w:pPr>
      <w:r>
        <w:rPr>
          <w:sz w:val="20"/>
          <w:szCs w:val="20"/>
        </w:rPr>
        <w:t xml:space="preserve">• **Upstream transactions:** Transfers involving a parent, holding company, or other entity that directly or indirectly controls Tenant are expressly covered.</w:t>
      </w:r>
    </w:p>
    <w:p>
      <w:pPr>
        <w:ind w:left="360" w:hanging="180"/>
      </w:pPr>
      <w:r>
        <w:rPr>
          <w:sz w:val="20"/>
          <w:szCs w:val="20"/>
        </w:rPr>
        <w:t xml:space="preserve">• **Asset sale:** Any sale of all or substantially all of Tenant’s assets.</w:t>
      </w:r>
    </w:p>
    <w:p>
      <w:pPr>
        <w:spacing w:after="120" w:line="276" w:lineRule="auto"/>
      </w:pPr>
      <w:r>
        <w:rPr>
          <w:sz w:val="20"/>
          <w:szCs w:val="20"/>
        </w:rPr>
        <w:t xml:space="preserve">The Lease does not prescribe a percentage threshold. Section 22.2 defines “control” as possession, directly or indirectly, of the power to direct or cause the direction of Tenant’s management and policies, whether through voting securities, contract, or otherwise. Accordingly, control may arise through governance or contractual rights and is not limited to ownership of more than 50% of voting interests.</w:t>
      </w:r>
    </w:p>
    <w:p>
      <w:pPr>
        <w:spacing w:after="120" w:line="276" w:lineRule="auto"/>
      </w:pPr>
      <w:r>
        <w:rPr>
          <w:sz w:val="20"/>
          <w:szCs w:val="20"/>
        </w:rPr>
        <w:t xml:space="preserve">Section 22.2 applies regardless of transaction form, including forward mergers, reverse mergers, triangular mergers, share exchanges, asset acquisitions, recapitalizations, and similar combinations. A transaction structured as a series of related transactions may also be aggregated for purposes of determining whether a change of control has occurred.</w:t>
      </w:r>
    </w:p>
    <w:p>
      <w:pPr>
        <w:spacing w:after="120" w:line="276" w:lineRule="auto"/>
      </w:pPr>
      <w:r>
        <w:rPr>
          <w:sz w:val="20"/>
          <w:szCs w:val="20"/>
        </w:rPr>
        <w:t xml:space="preserve">There is **no affiliate exception**. Section 22.2 expressly provides that Section 22 contains no exception or carve-out for Transfers or Deemed Assignments to or involving Tenant’s Affiliates. Internal reorganizations, transfers to a parent, subsidiary, or sister company, and upstream restructurings therefore require consent.</w:t>
      </w:r>
    </w:p>
    <w:p>
      <w:pPr>
        <w:pStyle w:val="Heading3"/>
      </w:pPr>
      <w:r>
        <w:rPr>
          <w:b/>
          <w:sz w:val="21"/>
          <w:szCs w:val="21"/>
        </w:rPr>
        <w:t xml:space="preserve">Treatment of transaction types and management changes</w:t>
      </w:r>
    </w:p>
    <w:p>
      <w:pPr>
        <w:ind w:left="360" w:hanging="180"/>
      </w:pPr>
      <w:r>
        <w:rPr>
          <w:sz w:val="20"/>
          <w:szCs w:val="20"/>
        </w:rPr>
        <w:t xml:space="preserve">• **Stock or equity acquisition:** A direct acquisition of control of Tenant or a controlling equity interest is a Deemed Assignment under Section 22.2(a). Equity transfers, issuances, or redemptions are also covered under Section 22.2(b) if they change the identity of the controlling person or group.</w:t>
      </w:r>
    </w:p>
    <w:p>
      <w:pPr>
        <w:ind w:left="360" w:hanging="180"/>
      </w:pPr>
      <w:r>
        <w:rPr>
          <w:sz w:val="20"/>
          <w:szCs w:val="20"/>
        </w:rPr>
        <w:t xml:space="preserve">• **Minority or staged transactions:** A transaction below any particular ownership percentage may nevertheless be covered if it changes the identity of the person or group controlling Tenant. No safe percentage threshold is stated.</w:t>
      </w:r>
    </w:p>
    <w:p>
      <w:pPr>
        <w:ind w:left="360" w:hanging="180"/>
      </w:pPr>
      <w:r>
        <w:rPr>
          <w:sz w:val="20"/>
          <w:szCs w:val="20"/>
        </w:rPr>
        <w:t xml:space="preserve">• **Indirect or upstream acquisition:** Expressly covered under Section 22.2(b), including an acquisition of Tenant’s parent or other controlling entity.</w:t>
      </w:r>
    </w:p>
    <w:p>
      <w:pPr>
        <w:ind w:left="360" w:hanging="180"/>
      </w:pPr>
      <w:r>
        <w:rPr>
          <w:sz w:val="20"/>
          <w:szCs w:val="20"/>
        </w:rPr>
        <w:t xml:space="preserve">• **Mergers and consolidations:** Forward, reverse, and triangular mergers, consolidations, share exchanges, and similar combinations are expressly covered.</w:t>
      </w:r>
    </w:p>
    <w:p>
      <w:pPr>
        <w:ind w:left="360" w:hanging="180"/>
      </w:pPr>
      <w:r>
        <w:rPr>
          <w:sz w:val="20"/>
          <w:szCs w:val="20"/>
        </w:rPr>
        <w:t xml:space="preserve">• **Recapitalizations:** Expressly identified as a covered transaction form if the transaction falls within Section 22.2.</w:t>
      </w:r>
    </w:p>
    <w:p>
      <w:pPr>
        <w:ind w:left="360" w:hanging="180"/>
      </w:pPr>
      <w:r>
        <w:rPr>
          <w:sz w:val="20"/>
          <w:szCs w:val="20"/>
        </w:rPr>
        <w:t xml:space="preserve">• **Asset sales:** A sale of all or substantially all assets is expressly covered under Section 22.2(c). A sale of less than substantially all assets is not expressly a Deemed Assignment solely by reason of the asset sale, although its effect on Tenant’s control, ability to perform, or other Transfer restrictions must be assessed.</w:t>
      </w:r>
    </w:p>
    <w:p>
      <w:pPr>
        <w:ind w:left="360" w:hanging="180"/>
      </w:pPr>
      <w:r>
        <w:rPr>
          <w:sz w:val="20"/>
          <w:szCs w:val="20"/>
        </w:rPr>
        <w:t xml:space="preserve">• **Management or governance changes:** A change in directors, officers, or property management is not a standalone stated trigger unless it changes the person or group possessing the power to direct Tenant’s management and policies. The contractual definition of control is nevertheless broad enough to create risk from governance, contractual management, or similar rights.</w:t>
      </w:r>
    </w:p>
    <w:p>
      <w:pPr>
        <w:pStyle w:val="Heading3"/>
      </w:pPr>
      <w:r>
        <w:rPr>
          <w:b/>
          <w:sz w:val="21"/>
          <w:szCs w:val="21"/>
        </w:rPr>
        <w:t xml:space="preserve">Assignment and transfer restrictions</w:t>
      </w:r>
    </w:p>
    <w:p>
      <w:pPr>
        <w:spacing w:after="120" w:line="276" w:lineRule="auto"/>
      </w:pPr>
      <w:r>
        <w:rPr>
          <w:sz w:val="20"/>
          <w:szCs w:val="20"/>
        </w:rPr>
        <w:t xml:space="preserve">Under Section 22.1 (“Consent Required”), Tenant may not, without Landlord’s prior written consent:</w:t>
      </w:r>
    </w:p>
    <w:p>
      <w:pPr>
        <w:ind w:left="360" w:hanging="180"/>
      </w:pPr>
      <w:r>
        <w:rPr>
          <w:sz w:val="20"/>
          <w:szCs w:val="20"/>
        </w:rPr>
        <w:t xml:space="preserve">• Assign the Lease or any interest in it;</w:t>
      </w:r>
    </w:p>
    <w:p>
      <w:pPr>
        <w:ind w:left="360" w:hanging="180"/>
      </w:pPr>
      <w:r>
        <w:rPr>
          <w:sz w:val="20"/>
          <w:szCs w:val="20"/>
        </w:rPr>
        <w:t xml:space="preserve">• Sublease all or any portion of the Premises;</w:t>
      </w:r>
    </w:p>
    <w:p>
      <w:pPr>
        <w:ind w:left="360" w:hanging="180"/>
      </w:pPr>
      <w:r>
        <w:rPr>
          <w:sz w:val="20"/>
          <w:szCs w:val="20"/>
        </w:rPr>
        <w:t xml:space="preserve">• Otherwise transfer, mortgage, pledge, encumber, or hypothecate the Lease or any right under it.</w:t>
      </w:r>
    </w:p>
    <w:p>
      <w:pPr>
        <w:spacing w:after="120" w:line="276" w:lineRule="auto"/>
      </w:pPr>
      <w:r>
        <w:rPr>
          <w:sz w:val="20"/>
          <w:szCs w:val="20"/>
        </w:rPr>
        <w:t xml:space="preserve">“Assignment” includes any assignment, transfer, or conveyance, whether voluntary or involuntary, by operation of law or otherwise. The restrictions therefore extend to corporate reorganizations, insolvency-related transfers, and other transfers not styled as assignments.</w:t>
      </w:r>
    </w:p>
    <w:p>
      <w:pPr>
        <w:spacing w:after="120" w:line="276" w:lineRule="auto"/>
      </w:pPr>
      <w:r>
        <w:rPr>
          <w:sz w:val="20"/>
          <w:szCs w:val="20"/>
        </w:rPr>
        <w:t xml:space="preserve">A purported Transfer without consent is void and of no force or effect and constitutes an Event of Default under Section 12.1(d). Section 2 provides that no assignee, transferee, or other third party is a “permitted” successor or assign absent strict compliance with Section 22. Section 27.7 similarly conditions successor and permitted-assignee status on strict compliance with Section 22.</w:t>
      </w:r>
    </w:p>
    <w:p>
      <w:pPr>
        <w:spacing w:after="120" w:line="276" w:lineRule="auto"/>
      </w:pPr>
      <w:r>
        <w:rPr>
          <w:sz w:val="20"/>
          <w:szCs w:val="20"/>
        </w:rPr>
        <w:t xml:space="preserve">Even if consent is granted, the transferring Tenant remains liable for all Lease obligations unless Landlord expressly agrees in writing to release it. The transferee must assume all Tenant obligations in writing, but Tenant remains primarily liable absent an express release.</w:t>
      </w:r>
    </w:p>
    <w:p>
      <w:pPr>
        <w:pStyle w:val="Heading3"/>
      </w:pPr>
      <w:r>
        <w:rPr>
          <w:b/>
          <w:sz w:val="21"/>
          <w:szCs w:val="21"/>
        </w:rPr>
        <w:t xml:space="preserve">Consent standard, notice, and timing</w:t>
      </w:r>
    </w:p>
    <w:p>
      <w:pPr>
        <w:spacing w:after="120" w:line="276" w:lineRule="auto"/>
      </w:pPr>
      <w:r>
        <w:rPr>
          <w:sz w:val="20"/>
          <w:szCs w:val="20"/>
        </w:rPr>
        <w:t xml:space="preserve">Landlord’s **prior written consent** must be obtained before the effective date of the Transfer or Deemed Assignment.</w:t>
      </w:r>
    </w:p>
    <w:p>
      <w:pPr>
        <w:spacing w:after="120" w:line="276" w:lineRule="auto"/>
      </w:pPr>
      <w:r>
        <w:rPr>
          <w:sz w:val="20"/>
          <w:szCs w:val="20"/>
        </w:rPr>
        <w:t xml:space="preserve">Under Section 22.1, Tenant must submit its consent request **not less than 30 days before** the proposed effective date. The submission must include information reasonably requested by Landlord, including:</w:t>
      </w:r>
    </w:p>
    <w:p>
      <w:pPr>
        <w:ind w:left="360" w:hanging="180"/>
      </w:pPr>
      <w:r>
        <w:rPr>
          <w:sz w:val="20"/>
          <w:szCs w:val="20"/>
        </w:rPr>
        <w:t xml:space="preserve">1. The proposed transferee’s most recent audited financial statements for the prior **three fiscal years**;</w:t>
      </w:r>
    </w:p>
    <w:p>
      <w:pPr>
        <w:ind w:left="360" w:hanging="180"/>
      </w:pPr>
      <w:r>
        <w:rPr>
          <w:sz w:val="20"/>
          <w:szCs w:val="20"/>
        </w:rPr>
        <w:t xml:space="preserve">2. A description of the transferee’s business and intended use of the Premises;</w:t>
      </w:r>
    </w:p>
    <w:p>
      <w:pPr>
        <w:ind w:left="360" w:hanging="180"/>
      </w:pPr>
      <w:r>
        <w:rPr>
          <w:sz w:val="20"/>
          <w:szCs w:val="20"/>
        </w:rPr>
        <w:t xml:space="preserve">3. A copy of the proposed assignment, sublease, or transfer agreement; and</w:t>
      </w:r>
    </w:p>
    <w:p>
      <w:pPr>
        <w:ind w:left="360" w:hanging="180"/>
      </w:pPr>
      <w:r>
        <w:rPr>
          <w:sz w:val="20"/>
          <w:szCs w:val="20"/>
        </w:rPr>
        <w:t xml:space="preserve">4. Other information reasonably required to evaluate the transaction.</w:t>
      </w:r>
    </w:p>
    <w:p>
      <w:pPr>
        <w:spacing w:after="120" w:line="276" w:lineRule="auto"/>
      </w:pPr>
      <w:r>
        <w:rPr>
          <w:sz w:val="20"/>
          <w:szCs w:val="20"/>
        </w:rPr>
        <w:t xml:space="preserve">Under Section 22.3, Landlord must provide a written response within **20 business days** after receiving Tenant’s written request together with all information required by Section 22.1. If consent is withheld, Landlord must state its reasons. Silence is expressly deemed a denial, not approval, and Tenant bears the affirmative burden of obtaining Landlord’s express written consent.</w:t>
      </w:r>
    </w:p>
    <w:p>
      <w:pPr>
        <w:spacing w:after="120" w:line="276" w:lineRule="auto"/>
      </w:pPr>
      <w:r>
        <w:rPr>
          <w:sz w:val="20"/>
          <w:szCs w:val="20"/>
        </w:rPr>
        <w:t xml:space="preserve">Consent may not be unreasonably withheld, conditioned, or delayed, but Landlord is deemed reasonable in withholding consent if:</w:t>
      </w:r>
    </w:p>
    <w:p>
      <w:pPr>
        <w:ind w:left="360" w:hanging="180"/>
      </w:pPr>
      <w:r>
        <w:rPr>
          <w:sz w:val="20"/>
          <w:szCs w:val="20"/>
        </w:rPr>
        <w:t xml:space="preserve">• The proposed transferee’s tangible net worth is less than the greater of Tenant’s tangible net worth as of **July 1, 2018** or Tenant’s tangible net worth as of the proposed Transfer date;</w:t>
      </w:r>
    </w:p>
    <w:p>
      <w:pPr>
        <w:ind w:left="360" w:hanging="180"/>
      </w:pPr>
      <w:r>
        <w:rPr>
          <w:sz w:val="20"/>
          <w:szCs w:val="20"/>
        </w:rPr>
        <w:t xml:space="preserve">• The proposed use is inconsistent with the Permitted Use;</w:t>
      </w:r>
    </w:p>
    <w:p>
      <w:pPr>
        <w:ind w:left="360" w:hanging="180"/>
      </w:pPr>
      <w:r>
        <w:rPr>
          <w:sz w:val="20"/>
          <w:szCs w:val="20"/>
        </w:rPr>
        <w:t xml:space="preserve">• The transferee is a governmental entity or agency;</w:t>
      </w:r>
    </w:p>
    <w:p>
      <w:pPr>
        <w:ind w:left="360" w:hanging="180"/>
      </w:pPr>
      <w:r>
        <w:rPr>
          <w:sz w:val="20"/>
          <w:szCs w:val="20"/>
        </w:rPr>
        <w:t xml:space="preserve">• The transaction would violate the Lease or applicable law; or</w:t>
      </w:r>
    </w:p>
    <w:p>
      <w:pPr>
        <w:ind w:left="360" w:hanging="180"/>
      </w:pPr>
      <w:r>
        <w:rPr>
          <w:sz w:val="20"/>
          <w:szCs w:val="20"/>
        </w:rPr>
        <w:t xml:space="preserve">• An uncured Tenant Event of Default exists.</w:t>
      </w:r>
    </w:p>
    <w:p>
      <w:pPr>
        <w:spacing w:after="120" w:line="276" w:lineRule="auto"/>
      </w:pPr>
      <w:r>
        <w:rPr>
          <w:sz w:val="20"/>
          <w:szCs w:val="20"/>
        </w:rPr>
        <w:t xml:space="preserve">Requests, consents, and approvals must comply with Section 21. Notices must be delivered by personal delivery, nationally recognized overnight courier, or certified U.S. mail, return receipt requested. Personal delivery and overnight courier notices are effective upon receipt; certified-mail notices are effective **three business days after mailing**.</w:t>
      </w:r>
    </w:p>
    <w:p>
      <w:pPr>
        <w:pStyle w:val="Heading3"/>
      </w:pPr>
      <w:r>
        <w:rPr>
          <w:b/>
          <w:sz w:val="21"/>
          <w:szCs w:val="21"/>
        </w:rPr>
        <w:t xml:space="preserve">Consequences and economic exposure</w:t>
      </w:r>
    </w:p>
    <w:p>
      <w:pPr>
        <w:spacing w:after="120" w:line="276" w:lineRule="auto"/>
      </w:pPr>
      <w:r>
        <w:rPr>
          <w:sz w:val="20"/>
          <w:szCs w:val="20"/>
        </w:rPr>
        <w:t xml:space="preserve">Under Section 12.1(d), failure to obtain prior written consent before any assignment, sublease, Transfer, or Deemed Assignment is an Event of Default.</w:t>
      </w:r>
    </w:p>
    <w:p>
      <w:pPr>
        <w:spacing w:after="120" w:line="276" w:lineRule="auto"/>
      </w:pPr>
      <w:r>
        <w:rPr>
          <w:sz w:val="20"/>
          <w:szCs w:val="20"/>
        </w:rPr>
        <w:t xml:space="preserve">Section 22.4 (“Remedies for Unauthorized Transfer; Early Termination Fee”) gives Landlord cumulative remedies if Tenant effects or permits an unauthorized Transfer or Deemed Assignment, or if Landlord requests consent and properly withholds it:</w:t>
      </w:r>
    </w:p>
    <w:p>
      <w:pPr>
        <w:ind w:left="360" w:hanging="180"/>
      </w:pPr>
      <w:r>
        <w:rPr>
          <w:sz w:val="20"/>
          <w:szCs w:val="20"/>
        </w:rPr>
        <w:t xml:space="preserve">• **Termination:** Landlord may terminate the Lease on at least **120 days’ prior written notice**. Tenant must vacate and surrender the Premises under Section 20.</w:t>
      </w:r>
    </w:p>
    <w:p>
      <w:pPr>
        <w:ind w:left="360" w:hanging="180"/>
      </w:pPr>
      <w:r>
        <w:rPr>
          <w:sz w:val="20"/>
          <w:szCs w:val="20"/>
        </w:rPr>
        <w:t xml:space="preserve">• **Early Termination Fee:** Tenant must pay, within **30 days after the Early Termination Date**, an amount equal to **18 months of monthly Base Rent**. The stated calculation is **$180,000 per month × 18 months = $3,240,000**. The calculation uses the initial monthly Base Rent, not escalated rent, and is intended as liquidated damages rather than a penalty. Under Section 4.2, the initial $180,000 monthly Base Rent is used for this purpose.</w:t>
      </w:r>
    </w:p>
    <w:p>
      <w:pPr>
        <w:ind w:left="360" w:hanging="180"/>
      </w:pPr>
      <w:r>
        <w:rPr>
          <w:sz w:val="20"/>
          <w:szCs w:val="20"/>
        </w:rPr>
        <w:t xml:space="preserve">• **Security Deposit application:** Landlord may apply the **$360,000 Security Deposit** toward the Early Termination Fee.</w:t>
      </w:r>
    </w:p>
    <w:p>
      <w:pPr>
        <w:ind w:left="360" w:hanging="180"/>
      </w:pPr>
      <w:r>
        <w:rPr>
          <w:sz w:val="20"/>
          <w:szCs w:val="20"/>
        </w:rPr>
        <w:t xml:space="preserve">• **Recapture:** In lieu of or in addition to termination and the fee, Landlord may elect to recapture the Premises by notice delivered within **30 days after first learning** of the unauthorized Transfer or Deemed Assignment. The recapture termination date must be at least **60 days after** the notice date. Following recapture, obligations generally cease except surviving obligations, accrued rent and other amounts, and Tenant’s indemnities under Sections 10 and 24.</w:t>
      </w:r>
    </w:p>
    <w:p>
      <w:pPr>
        <w:ind w:left="360" w:hanging="180"/>
      </w:pPr>
      <w:r>
        <w:rPr>
          <w:sz w:val="20"/>
          <w:szCs w:val="20"/>
        </w:rPr>
        <w:t xml:space="preserve">• **Excess transfer rent:** If Landlord consents and consideration received by Tenant exceeds Base Rent and Additional Rent payable under the Lease, Tenant must pay Landlord **50% of the excess**, net of reasonable, documented, out-of-pocket transfer costs, including brokerage commissions, attorneys’ fees, and improvement costs. Payment is due within **30 days after** Tenant receives each installment of excess rent. The application of this provision to a stock acquisition should be confirmed with Landlord because the text broadly applies to a consented Deemed Assignment.</w:t>
      </w:r>
    </w:p>
    <w:p>
      <w:pPr>
        <w:ind w:left="360" w:hanging="180"/>
      </w:pPr>
      <w:r>
        <w:rPr>
          <w:sz w:val="20"/>
          <w:szCs w:val="20"/>
        </w:rPr>
        <w:t xml:space="preserve">• **General default remedies:** Under Section 12.2, remedies are cumulative and may include Lease termination, re-entry and repossession, acceleration of all Rent and other sums through the Expiration Date discounted at **4% per annum**, Section 22.4 remedies, and other legal or equitable remedies, subject to applicable mitigation requirements.</w:t>
      </w:r>
    </w:p>
    <w:p>
      <w:pPr>
        <w:ind w:left="360" w:hanging="180"/>
      </w:pPr>
      <w:r>
        <w:rPr>
          <w:sz w:val="20"/>
          <w:szCs w:val="20"/>
        </w:rPr>
        <w:t xml:space="preserve">• **Holdover:** If Tenant remains after termination without consent, Section 19 imposes holdover rent at **150% of then-current monthly Base Rent**.</w:t>
      </w:r>
    </w:p>
    <w:p>
      <w:pPr>
        <w:spacing w:after="120" w:line="276" w:lineRule="auto"/>
      </w:pPr>
      <w:r>
        <w:rPr>
          <w:sz w:val="20"/>
          <w:szCs w:val="20"/>
        </w:rPr>
        <w:t xml:space="preserve">The Lease does not provide an express “run-off” or post-termination tail period beyond accrued and expressly surviving obligations. It does, however, preserve Tenant’s continuing liability after an approved Transfer unless Landlord expressly releases Tenant. The Lease does not state a transaction-consent premium, but the $3,240,000 Early Termination Fee and 50% excess-rent sharing provision create significant economic exposure.</w:t>
      </w:r>
    </w:p>
    <w:p>
      <w:pPr>
        <w:pStyle w:val="Heading3"/>
      </w:pPr>
      <w:r>
        <w:rPr>
          <w:b/>
          <w:sz w:val="21"/>
          <w:szCs w:val="21"/>
        </w:rPr>
        <w:t xml:space="preserve">Other material transaction risks</w:t>
      </w:r>
    </w:p>
    <w:p>
      <w:pPr>
        <w:ind w:left="360" w:hanging="180"/>
      </w:pPr>
      <w:r>
        <w:rPr>
          <w:sz w:val="20"/>
          <w:szCs w:val="20"/>
        </w:rPr>
        <w:t xml:space="preserve">• **Renewal option:** Under Section 3.3, the renewal right is personal to Apex and may not be exercised by an assignee, sublessee, or transferee without Landlord’s prior written consent, which may be withheld in Landlord’s sole discretion. The renewal-election deadline is **June 30, 2027**. Transaction consent should expressly confirm the post-closing entity’s ability to exercise the option.</w:t>
      </w:r>
    </w:p>
    <w:p>
      <w:pPr>
        <w:ind w:left="360" w:hanging="180"/>
      </w:pPr>
      <w:r>
        <w:rPr>
          <w:sz w:val="20"/>
          <w:szCs w:val="20"/>
        </w:rPr>
        <w:t xml:space="preserve">• **Tangible net worth:** The Section 22.3(a) test may be difficult for an acquisition vehicle or newly formed surviving entity. The parties should determine Tenant’s tangible net worth as of July 1, 2018 and at closing. The Lease does not state that a parent guaranty or other credit support cures a deficiency.</w:t>
      </w:r>
    </w:p>
    <w:p>
      <w:pPr>
        <w:ind w:left="360" w:hanging="180"/>
      </w:pPr>
      <w:r>
        <w:rPr>
          <w:sz w:val="20"/>
          <w:szCs w:val="20"/>
        </w:rPr>
        <w:t xml:space="preserve">• **Existing defaults:** Any uncured default may independently support withholding consent. Rent, Additional Rent, maintenance, insurance, environmental, use, alteration, and prior-transfer compliance should be confirmed.</w:t>
      </w:r>
    </w:p>
    <w:p>
      <w:pPr>
        <w:ind w:left="360" w:hanging="180"/>
      </w:pPr>
      <w:r>
        <w:rPr>
          <w:sz w:val="20"/>
          <w:szCs w:val="20"/>
        </w:rPr>
        <w:t xml:space="preserve">• **Permitted Use:** The Premises are limited to general office, administrative, and engineering design use in connection with designing and manufacturing precision fluid control systems. Manufacturing, warehousing, retail, and other non-permitted uses are prohibited under Sections 1 and 6. The buyer’s post-closing use must be confirmed.</w:t>
      </w:r>
    </w:p>
    <w:p>
      <w:pPr>
        <w:ind w:left="360" w:hanging="180"/>
      </w:pPr>
      <w:r>
        <w:rPr>
          <w:sz w:val="20"/>
          <w:szCs w:val="20"/>
        </w:rPr>
        <w:t xml:space="preserve">• **Environmental exposure:** Section 24 imposes broad environmental restrictions and indemnities, while permitting only ordinary office and cleaning supplies. Confirm that no manufacturing, storage, or hazardous-material activity occurs at the Premises and that no environmental claims or notices are outstanding.</w:t>
      </w:r>
    </w:p>
    <w:p>
      <w:pPr>
        <w:ind w:left="360" w:hanging="180"/>
      </w:pPr>
      <w:r>
        <w:rPr>
          <w:sz w:val="20"/>
          <w:szCs w:val="20"/>
        </w:rPr>
        <w:t xml:space="preserve">• **Insolvency:** Insolvency, an assignment for the benefit of creditors, bankruptcy, or appointment of a receiver or trustee for substantially all assets is an Event of Default under Section 12.1(c), requiring separate bankruptcy and enforceability review.</w:t>
      </w:r>
    </w:p>
    <w:p>
      <w:pPr>
        <w:ind w:left="360" w:hanging="180"/>
      </w:pPr>
      <w:r>
        <w:rPr>
          <w:sz w:val="20"/>
          <w:szCs w:val="20"/>
        </w:rPr>
        <w:t xml:space="preserve">• **Security Deposit:** Confirm the existence, amount, form, and treatment of the $360,000 Security Deposit, including whether Landlord will require replenishment or additional credit support.</w:t>
      </w:r>
    </w:p>
    <w:p>
      <w:pPr>
        <w:ind w:left="360" w:hanging="180"/>
      </w:pPr>
      <w:r>
        <w:rPr>
          <w:sz w:val="20"/>
          <w:szCs w:val="20"/>
        </w:rPr>
        <w:t xml:space="preserve">• **Estoppel:** Under Section 14, each party must deliver an estoppel certificate within **15 business days** after written request. The buyer should obtain an estoppel addressing Lease status, amendments, Base Rent, payment status, defaults, disputes, consent, renewal rights, Security Deposit, and any alleged unauthorized Transfer.</w:t>
      </w:r>
    </w:p>
    <w:p>
      <w:pPr>
        <w:ind w:left="360" w:hanging="180"/>
      </w:pPr>
      <w:r>
        <w:rPr>
          <w:sz w:val="20"/>
          <w:szCs w:val="20"/>
        </w:rPr>
        <w:t xml:space="preserve">• **Financing and SNDA:** Section 13 subordinates the Lease to current and future financing liens, with Landlord required only to use commercially reasonable efforts to obtain an SNDA. Acquisition financing should be reviewed for SNDA, recognition, or other lease-protection requirements.</w:t>
      </w:r>
    </w:p>
    <w:p>
      <w:pPr>
        <w:ind w:left="360" w:hanging="180"/>
      </w:pPr>
      <w:r>
        <w:rPr>
          <w:sz w:val="20"/>
          <w:szCs w:val="20"/>
        </w:rPr>
        <w:t xml:space="preserve">• **Economic exposure:** Base Rent increases by **2.5% annually**, and Section 12.2 acceleration creates potential exposure beyond the stated $3,240,000 Early Termination Fee.</w:t>
      </w:r>
    </w:p>
    <w:p>
      <w:pPr>
        <w:ind w:left="360" w:hanging="180"/>
      </w:pPr>
      <w:r>
        <w:rPr>
          <w:sz w:val="20"/>
          <w:szCs w:val="20"/>
        </w:rPr>
        <w:t xml:space="preserve">• **Written documentation:** Sections 27.3 and 27.4 require written, signed amendments. Informal statements by property management should not be relied upon as consent, waiver, release, or amendment.</w:t>
      </w:r>
    </w:p>
    <w:p>
      <w:pPr>
        <w:pStyle w:val="Heading3"/>
      </w:pPr>
      <w:r>
        <w:rPr>
          <w:b/>
          <w:sz w:val="21"/>
          <w:szCs w:val="21"/>
        </w:rPr>
        <w:t xml:space="preserve">Risk rating</w:t>
      </w:r>
    </w:p>
    <w:p>
      <w:pPr>
        <w:spacing w:after="120" w:line="276" w:lineRule="auto"/>
      </w:pPr>
      <w:r>
        <w:rPr>
          <w:sz w:val="20"/>
          <w:szCs w:val="20"/>
        </w:rPr>
        <w:t xml:space="preserve">**High.** The Lease broadly captures direct and indirect changes of control, mergers, specified equity transactions, upstream transactions, affiliate reorganizations, and sales of all or substantially all assets. Consent must be express and obtained before closing; silence is a denial. An unauthorized or properly disallowed transaction may result in termination, recapture, a **$3,240,000** Early Termination Fee, 50% sharing of excess transfer rent, accelerated rent, repossession, and continuing Tenant liability.</w:t>
      </w:r>
    </w:p>
    <w:p>
      <w:pPr>
        <w:pStyle w:val="Heading3"/>
      </w:pPr>
      <w:r>
        <w:rPr>
          <w:b/>
          <w:sz w:val="21"/>
          <w:szCs w:val="21"/>
        </w:rPr>
        <w:t xml:space="preserve">Recommended diligence and closing actions</w:t>
      </w:r>
    </w:p>
    <w:p>
      <w:pPr>
        <w:ind w:left="360" w:hanging="180"/>
      </w:pPr>
      <w:r>
        <w:rPr>
          <w:sz w:val="20"/>
          <w:szCs w:val="20"/>
        </w:rPr>
        <w:t xml:space="preserve">1. Treat Landlord’s express written consent as a **condition to signing and closing** for any transaction potentially within Section 22.2.</w:t>
      </w:r>
    </w:p>
    <w:p>
      <w:pPr>
        <w:ind w:left="360" w:hanging="180"/>
      </w:pPr>
      <w:r>
        <w:rPr>
          <w:sz w:val="20"/>
          <w:szCs w:val="20"/>
        </w:rPr>
        <w:t xml:space="preserve">2. Submit the complete Section 22.1 package at least **30 days before** the proposed effective date, including three years of audited financial statements, the post-closing use description, draft transaction/assumption documents, ownership and control charts, and other reasonably requested information.</w:t>
      </w:r>
    </w:p>
    <w:p>
      <w:pPr>
        <w:ind w:left="360" w:hanging="180"/>
      </w:pPr>
      <w:r>
        <w:rPr>
          <w:sz w:val="20"/>
          <w:szCs w:val="20"/>
        </w:rPr>
        <w:t xml:space="preserve">3. Identify the exact transaction structure and obtain written approval covering the applicable stock purchase, upstream acquisition, merger, triangular merger, recapitalization, asset acquisition, or affiliate reorganization.</w:t>
      </w:r>
    </w:p>
    <w:p>
      <w:pPr>
        <w:ind w:left="360" w:hanging="180"/>
      </w:pPr>
      <w:r>
        <w:rPr>
          <w:sz w:val="20"/>
          <w:szCs w:val="20"/>
        </w:rPr>
        <w:t xml:space="preserve">4. Do not rely on silence; require Landlord’s written response within the Section 22.3 process and ensure delivery complies with Section 21.</w:t>
      </w:r>
    </w:p>
    <w:p>
      <w:pPr>
        <w:ind w:left="360" w:hanging="180"/>
      </w:pPr>
      <w:r>
        <w:rPr>
          <w:sz w:val="20"/>
          <w:szCs w:val="20"/>
        </w:rPr>
        <w:t xml:space="preserve">5. Confirm the proposed transferee or surviving entity satisfies the Section 22.3(a) tangible-net-worth test; negotiate a guaranty or other credit support if necessary.</w:t>
      </w:r>
    </w:p>
    <w:p>
      <w:pPr>
        <w:ind w:left="360" w:hanging="180"/>
      </w:pPr>
      <w:r>
        <w:rPr>
          <w:sz w:val="20"/>
          <w:szCs w:val="20"/>
        </w:rPr>
        <w:t xml:space="preserve">6. Confirm there are no uncured defaults, prior unauthorized Transfers, outstanding notices, use violations, environmental issues, or unapproved alterations.</w:t>
      </w:r>
    </w:p>
    <w:p>
      <w:pPr>
        <w:ind w:left="360" w:hanging="180"/>
      </w:pPr>
      <w:r>
        <w:rPr>
          <w:sz w:val="20"/>
          <w:szCs w:val="20"/>
        </w:rPr>
        <w:t xml:space="preserve">7. Obtain a current Section 14 estoppel certificate.</w:t>
      </w:r>
    </w:p>
    <w:p>
      <w:pPr>
        <w:ind w:left="360" w:hanging="180"/>
      </w:pPr>
      <w:r>
        <w:rPr>
          <w:sz w:val="20"/>
          <w:szCs w:val="20"/>
        </w:rPr>
        <w:t xml:space="preserve">8. Require transaction documents to include Landlord’s consent, the transferee’s written assumption, recognition as the permitted successor Tenant, and any negotiated release of Apex.</w:t>
      </w:r>
    </w:p>
    <w:p>
      <w:pPr>
        <w:ind w:left="360" w:hanging="180"/>
      </w:pPr>
      <w:r>
        <w:rPr>
          <w:sz w:val="20"/>
          <w:szCs w:val="20"/>
        </w:rPr>
        <w:t xml:space="preserve">9. Obtain express confirmation that the Section 3.3 renewal option remains available to the post-closing entity and that its **June 30, 2027** exercise deadline is preserved.</w:t>
      </w:r>
    </w:p>
    <w:p>
      <w:pPr>
        <w:ind w:left="360" w:hanging="180"/>
      </w:pPr>
      <w:r>
        <w:rPr>
          <w:sz w:val="20"/>
          <w:szCs w:val="20"/>
        </w:rPr>
        <w:t xml:space="preserve">10. Confirm the treatment of the **$360,000 Security Deposit**, including any replenishment or additional credit support.</w:t>
      </w:r>
    </w:p>
    <w:p>
      <w:pPr>
        <w:ind w:left="360" w:hanging="180"/>
      </w:pPr>
      <w:r>
        <w:rPr>
          <w:sz w:val="20"/>
          <w:szCs w:val="20"/>
        </w:rPr>
        <w:t xml:space="preserve">11. Confirm that the transaction does not trigger the Early Termination Fee, recapture right, excess-rent sharing, or other Section 22.4 remedy.</w:t>
      </w:r>
    </w:p>
    <w:p>
      <w:pPr>
        <w:ind w:left="360" w:hanging="180"/>
      </w:pPr>
      <w:r>
        <w:rPr>
          <w:sz w:val="20"/>
          <w:szCs w:val="20"/>
        </w:rPr>
        <w:t xml:space="preserve">12. Review Section 13 financing, SNDA, and lender-recognition requirements and ensure any required lease documentation is executed before closing.</w:t>
      </w:r>
    </w:p>
    <w:p>
      <w:pPr>
        <w:pStyle w:val="Heading1"/>
      </w:pPr>
      <w:r>
        <w:rPr>
          <w:b/>
          <w:sz w:val="28"/>
          <w:szCs w:val="28"/>
        </w:rPr>
        <w:t xml:space="preserve">Northland Refining Master Supply Agreement</w:t>
      </w:r>
    </w:p>
    <w:p>
      <w:r>
        <w:rPr>
          <w:i/>
          <w:sz w:val="18"/>
          <w:szCs w:val="18"/>
        </w:rPr>
        <w:t xml:space="preserve">Source file: northland-refining-msa.docx.txt</w:t>
      </w:r>
    </w:p>
    <w:p>
      <w:pPr>
        <w:pStyle w:val="Heading2"/>
      </w:pPr>
      <w:r>
        <w:rPr>
          <w:b/>
          <w:sz w:val="24"/>
          <w:szCs w:val="24"/>
        </w:rPr>
        <w:t xml:space="preserve">Change-of-Control and Transaction-Risk Diligence</w:t>
      </w:r>
    </w:p>
    <w:p>
      <w:pPr>
        <w:pStyle w:val="Heading3"/>
      </w:pPr>
      <w:r>
        <w:rPr>
          <w:b/>
          <w:sz w:val="21"/>
          <w:szCs w:val="21"/>
        </w:rPr>
        <w:t xml:space="preserve">Parties and contractual context</w:t>
      </w:r>
    </w:p>
    <w:p>
      <w:pPr>
        <w:spacing w:after="120" w:line="276" w:lineRule="auto"/>
      </w:pPr>
      <w:r>
        <w:rPr>
          <w:sz w:val="20"/>
          <w:szCs w:val="20"/>
        </w:rPr>
        <w:t xml:space="preserve">The **Northland Refining MSA**, Contract No. **MSA-2019-0042**, is between **Northland** and **Apex**. Northland has purchase and minimum-volume obligations for Products, and Apex has manufacturing, delivery, quality, warranty, and related performance obligations. The Agreement is non-exclusive under **Section 2.2**.</w:t>
      </w:r>
    </w:p>
    <w:p>
      <w:pPr>
        <w:pStyle w:val="Heading3"/>
      </w:pPr>
      <w:r>
        <w:rPr>
          <w:b/>
          <w:sz w:val="21"/>
          <w:szCs w:val="21"/>
        </w:rPr>
        <w:t xml:space="preserve">Express change-of-control treatment</w:t>
      </w:r>
    </w:p>
    <w:p>
      <w:pPr>
        <w:spacing w:after="120" w:line="276" w:lineRule="auto"/>
      </w:pPr>
      <w:r>
        <w:rPr>
          <w:sz w:val="20"/>
          <w:szCs w:val="20"/>
        </w:rPr>
        <w:t xml:space="preserve">The Agreement contains **no express “Change of Control” definition or standalone change-of-control provision**. It does not expressly address or make a trigger:</w:t>
      </w:r>
    </w:p>
    <w:p>
      <w:pPr>
        <w:ind w:left="360" w:hanging="180"/>
      </w:pPr>
      <w:r>
        <w:rPr>
          <w:sz w:val="20"/>
          <w:szCs w:val="20"/>
        </w:rPr>
        <w:t xml:space="preserve">• A direct or indirect stock or ownership change;</w:t>
      </w:r>
    </w:p>
    <w:p>
      <w:pPr>
        <w:ind w:left="360" w:hanging="180"/>
      </w:pPr>
      <w:r>
        <w:rPr>
          <w:sz w:val="20"/>
          <w:szCs w:val="20"/>
        </w:rPr>
        <w:t xml:space="preserve">• A change in ultimate beneficial ownership or voting control;</w:t>
      </w:r>
    </w:p>
    <w:p>
      <w:pPr>
        <w:ind w:left="360" w:hanging="180"/>
      </w:pPr>
      <w:r>
        <w:rPr>
          <w:sz w:val="20"/>
          <w:szCs w:val="20"/>
        </w:rPr>
        <w:t xml:space="preserve">• A merger, consolidation, recapitalization, statutory conversion, or reorganization;</w:t>
      </w:r>
    </w:p>
    <w:p>
      <w:pPr>
        <w:ind w:left="360" w:hanging="180"/>
      </w:pPr>
      <w:r>
        <w:rPr>
          <w:sz w:val="20"/>
          <w:szCs w:val="20"/>
        </w:rPr>
        <w:t xml:space="preserve">• A sale of all or substantially all assets;</w:t>
      </w:r>
    </w:p>
    <w:p>
      <w:pPr>
        <w:ind w:left="360" w:hanging="180"/>
      </w:pPr>
      <w:r>
        <w:rPr>
          <w:sz w:val="20"/>
          <w:szCs w:val="20"/>
        </w:rPr>
        <w:t xml:space="preserve">• A change in directors, officers, management, or operational control; or</w:t>
      </w:r>
    </w:p>
    <w:p>
      <w:pPr>
        <w:ind w:left="360" w:hanging="180"/>
      </w:pPr>
      <w:r>
        <w:rPr>
          <w:sz w:val="20"/>
          <w:szCs w:val="20"/>
        </w:rPr>
        <w:t xml:space="preserve">• A specific ownership percentage other than the Affiliate definition described below.</w:t>
      </w:r>
    </w:p>
    <w:p>
      <w:pPr>
        <w:spacing w:after="120" w:line="276" w:lineRule="auto"/>
      </w:pPr>
      <w:r>
        <w:rPr>
          <w:sz w:val="20"/>
          <w:szCs w:val="20"/>
        </w:rPr>
        <w:t xml:space="preserve">There is therefore no express change-of-control consent right, notice requirement, automatic termination, acceleration, buy-out, put, call, price reset, premium, renegotiation, suspension, run-off, or tail triggered solely by a change in ownership or management.</w:t>
      </w:r>
    </w:p>
    <w:p>
      <w:pPr>
        <w:pStyle w:val="Heading3"/>
      </w:pPr>
      <w:r>
        <w:rPr>
          <w:b/>
          <w:sz w:val="21"/>
          <w:szCs w:val="21"/>
        </w:rPr>
        <w:t xml:space="preserve">Affiliate definition and control threshold</w:t>
      </w:r>
    </w:p>
    <w:p>
      <w:pPr>
        <w:spacing w:after="120" w:line="276" w:lineRule="auto"/>
      </w:pPr>
      <w:r>
        <w:rPr>
          <w:sz w:val="20"/>
          <w:szCs w:val="20"/>
        </w:rPr>
        <w:t xml:space="preserve">**Article 1, Section 1.1** defines an “Affiliate” as an entity that directly or indirectly controls, is controlled by, or is under common control with a Person. “Control” means ownership, directly or indirectly, of **more than 50% of the voting securities or equivalent ownership interest**.</w:t>
      </w:r>
    </w:p>
    <w:p>
      <w:pPr>
        <w:spacing w:after="120" w:line="276" w:lineRule="auto"/>
      </w:pPr>
      <w:r>
        <w:rPr>
          <w:sz w:val="20"/>
          <w:szCs w:val="20"/>
        </w:rPr>
        <w:t xml:space="preserve">This is an Affiliate definition—not a general change-of-control trigger—but it is relevant to the Affiliate assignment exception in **Section 14.2**.</w:t>
      </w:r>
    </w:p>
    <w:p>
      <w:pPr>
        <w:pStyle w:val="Heading3"/>
      </w:pPr>
      <w:r>
        <w:rPr>
          <w:b/>
          <w:sz w:val="21"/>
          <w:szCs w:val="21"/>
        </w:rPr>
        <w:t xml:space="preserve">Assignment and transfer restrictions</w:t>
      </w:r>
    </w:p>
    <w:p>
      <w:pPr>
        <w:spacing w:after="120" w:line="276" w:lineRule="auto"/>
      </w:pPr>
      <w:r>
        <w:rPr>
          <w:sz w:val="20"/>
          <w:szCs w:val="20"/>
        </w:rPr>
        <w:t xml:space="preserve">**Section 14.2 — Assignment** provides:</w:t>
      </w:r>
    </w:p>
    <w:p>
      <w:pPr>
        <w:ind w:left="720"/>
      </w:pPr>
      <w:r>
        <w:rPr>
          <w:i/>
          <w:sz w:val="20"/>
          <w:szCs w:val="20"/>
        </w:rPr>
        <w:t xml:space="preserve">“Neither Party shall assign, transfer, or delegate this Agreement or any of its rights, interests, or obligations hereunder, in whole or in part, whether by operation of law or otherwise, without the prior written consent of the other Party, which consent may be withheld in such Party’s sole and absolute discretion.”</w:t>
      </w:r>
    </w:p>
    <w:p>
      <w:pPr>
        <w:spacing w:after="120" w:line="276" w:lineRule="auto"/>
      </w:pPr>
      <w:r>
        <w:rPr>
          <w:sz w:val="20"/>
          <w:szCs w:val="20"/>
        </w:rPr>
        <w:t xml:space="preserve">The restriction covers the whole or partial assignment, transfer, or delegation of:</w:t>
      </w:r>
    </w:p>
    <w:p>
      <w:pPr>
        <w:ind w:left="360" w:hanging="180"/>
      </w:pPr>
      <w:r>
        <w:rPr>
          <w:sz w:val="20"/>
          <w:szCs w:val="20"/>
        </w:rPr>
        <w:t xml:space="preserve">• The Agreement;</w:t>
      </w:r>
    </w:p>
    <w:p>
      <w:pPr>
        <w:ind w:left="360" w:hanging="180"/>
      </w:pPr>
      <w:r>
        <w:rPr>
          <w:sz w:val="20"/>
          <w:szCs w:val="20"/>
        </w:rPr>
        <w:t xml:space="preserve">• Rights or interests; and</w:t>
      </w:r>
    </w:p>
    <w:p>
      <w:pPr>
        <w:ind w:left="360" w:hanging="180"/>
      </w:pPr>
      <w:r>
        <w:rPr>
          <w:sz w:val="20"/>
          <w:szCs w:val="20"/>
        </w:rPr>
        <w:t xml:space="preserve">• Obligations,</w:t>
      </w:r>
    </w:p>
    <w:p>
      <w:pPr>
        <w:spacing w:after="120" w:line="276" w:lineRule="auto"/>
      </w:pPr>
      <w:r>
        <w:rPr>
          <w:sz w:val="20"/>
          <w:szCs w:val="20"/>
        </w:rPr>
        <w:t xml:space="preserve">including transfers **“by operation of law or otherwise.”**</w:t>
      </w:r>
    </w:p>
    <w:p>
      <w:pPr>
        <w:spacing w:after="120" w:line="276" w:lineRule="auto"/>
      </w:pPr>
      <w:r>
        <w:rPr>
          <w:sz w:val="20"/>
          <w:szCs w:val="20"/>
        </w:rPr>
        <w:t xml:space="preserve">This language presents particular risk for statutory mergers, consolidations, conversions, reorganizations, bankruptcy-related transfers, and other transactions in which the Agreement may be deemed transferred without a conventional assignment document.</w:t>
      </w:r>
    </w:p>
    <w:p>
      <w:pPr>
        <w:spacing w:after="120" w:line="276" w:lineRule="auto"/>
      </w:pPr>
      <w:r>
        <w:rPr>
          <w:sz w:val="20"/>
          <w:szCs w:val="20"/>
        </w:rPr>
        <w:t xml:space="preserve">Any purported transfer violating Section 14.2 is:</w:t>
      </w:r>
    </w:p>
    <w:p>
      <w:pPr>
        <w:ind w:left="720"/>
      </w:pPr>
      <w:r>
        <w:rPr>
          <w:i/>
          <w:sz w:val="20"/>
          <w:szCs w:val="20"/>
        </w:rPr>
        <w:t xml:space="preserve">“null and void and of no force or effect.”</w:t>
      </w:r>
    </w:p>
    <w:p>
      <w:pPr>
        <w:spacing w:after="120" w:line="276" w:lineRule="auto"/>
      </w:pPr>
      <w:r>
        <w:rPr>
          <w:sz w:val="20"/>
          <w:szCs w:val="20"/>
        </w:rPr>
        <w:t xml:space="preserve">**Section 14.3 — Binding Effect** binds successors and permitted assigns, but expressly subjects them to the restrictions in Article 14 and does not provide independent consent to a merger or asset transfer.</w:t>
      </w:r>
    </w:p>
    <w:p>
      <w:pPr>
        <w:pStyle w:val="Heading3"/>
      </w:pPr>
      <w:r>
        <w:rPr>
          <w:b/>
          <w:sz w:val="21"/>
          <w:szCs w:val="21"/>
        </w:rPr>
        <w:t xml:space="preserve">Treatment by transaction type</w:t>
      </w:r>
    </w:p>
    <w:p>
      <w:pPr>
        <w:ind w:left="360" w:hanging="180"/>
      </w:pPr>
      <w:r>
        <w:rPr>
          <w:sz w:val="20"/>
          <w:szCs w:val="20"/>
        </w:rPr>
        <w:t xml:space="preserve">• **Stock acquisition of Northland or Apex:** A conventional stock purchase is not expressly restricted because the contracting entity ordinarily remains unchanged. No consent, notice, termination, or pricing adjustment is expressly required solely due to the stock sale. However, the Agreement contains no stock-sale safe harbor, and a related merger, conversion, or restructuring could implicate Section 14.2.</w:t>
      </w:r>
    </w:p>
    <w:p>
      <w:pPr>
        <w:ind w:left="360" w:hanging="180"/>
      </w:pPr>
      <w:r>
        <w:rPr>
          <w:sz w:val="20"/>
          <w:szCs w:val="20"/>
        </w:rPr>
        <w:t xml:space="preserve">• **Upstream or indirect change of control:** No express trigger applies to a parent-level acquisition, change in ultimate ownership, board composition, or senior management. The Affiliate definition recognizes indirect control but does not impose consequences for an upstream change.</w:t>
      </w:r>
    </w:p>
    <w:p>
      <w:pPr>
        <w:ind w:left="360" w:hanging="180"/>
      </w:pPr>
      <w:r>
        <w:rPr>
          <w:sz w:val="20"/>
          <w:szCs w:val="20"/>
        </w:rPr>
        <w:t xml:space="preserve">• **Merger or consolidation:** A merger, consolidation, statutory conversion, or similar transaction may constitute a transfer by operation of law under Section 14.2, particularly if the contracting party does not survive or the Agreement is assumed by another entity. Prior written consent should be obtained.</w:t>
      </w:r>
    </w:p>
    <w:p>
      <w:pPr>
        <w:ind w:left="360" w:hanging="180"/>
      </w:pPr>
      <w:r>
        <w:rPr>
          <w:sz w:val="20"/>
          <w:szCs w:val="20"/>
        </w:rPr>
        <w:t xml:space="preserve">• **Asset sale:** An asset transaction transferring the Agreement, Purchase Orders, contractual rights or obligations, the relevant Product business, manufacturing operations, or customer relationship would likely require prior written consent under Section 14.2.</w:t>
      </w:r>
    </w:p>
    <w:p>
      <w:pPr>
        <w:ind w:left="360" w:hanging="180"/>
      </w:pPr>
      <w:r>
        <w:rPr>
          <w:sz w:val="20"/>
          <w:szCs w:val="20"/>
        </w:rPr>
        <w:t xml:space="preserve">• **Management or operational control:** No change in management, directors, officers, or operational control is expressly regulated. Nevertheless, post-closing manufacturing, sourcing, quality, or subcontracting changes may trigger separate requirements under Sections 6.5 and 14.1.</w:t>
      </w:r>
    </w:p>
    <w:p>
      <w:pPr>
        <w:ind w:left="360" w:hanging="180"/>
      </w:pPr>
      <w:r>
        <w:rPr>
          <w:sz w:val="20"/>
          <w:szCs w:val="20"/>
        </w:rPr>
        <w:t xml:space="preserve">• **Affiliate transfer:** An assignment to an Affiliate is permitted without prior consent if the assigning Party gives written notice within **30 days after the assignment** and remains **jointly and severally liable** for all obligations of the assignee. The Agreement does not expressly address whether an entity becoming an Affiliate as a result of the transaction qualifies, or whether a later sale of that Affiliate affects the exception.</w:t>
      </w:r>
    </w:p>
    <w:p>
      <w:pPr>
        <w:pStyle w:val="Heading3"/>
      </w:pPr>
      <w:r>
        <w:rPr>
          <w:b/>
          <w:sz w:val="21"/>
          <w:szCs w:val="21"/>
        </w:rPr>
        <w:t xml:space="preserve">Consent, notice, and documentation requirements</w:t>
      </w:r>
    </w:p>
    <w:p>
      <w:pPr>
        <w:spacing w:after="120" w:line="276" w:lineRule="auto"/>
      </w:pPr>
      <w:r>
        <w:rPr>
          <w:sz w:val="20"/>
          <w:szCs w:val="20"/>
        </w:rPr>
        <w:t xml:space="preserve">For a non-exempt transfer, Section 14.2 requires **prior written consent**. Consent may be withheld in the other Party’s **sole and absolute discretion**; there is no response deadline or reasonableness standard.</w:t>
      </w:r>
    </w:p>
    <w:p>
      <w:pPr>
        <w:spacing w:after="120" w:line="276" w:lineRule="auto"/>
      </w:pPr>
      <w:r>
        <w:rPr>
          <w:sz w:val="20"/>
          <w:szCs w:val="20"/>
        </w:rPr>
        <w:t xml:space="preserve">For an Affiliate assignment, notice is due within **30 days after assignment**, with continuing joint and several liability of the original contracting party.</w:t>
      </w:r>
    </w:p>
    <w:p>
      <w:pPr>
        <w:spacing w:after="120" w:line="276" w:lineRule="auto"/>
      </w:pPr>
      <w:r>
        <w:rPr>
          <w:sz w:val="20"/>
          <w:szCs w:val="20"/>
        </w:rPr>
        <w:t xml:space="preserve">**Section 16.1** permits notices, consents, requests, and other communications by:</w:t>
      </w:r>
    </w:p>
    <w:p>
      <w:pPr>
        <w:ind w:left="360" w:hanging="180"/>
      </w:pPr>
      <w:r>
        <w:rPr>
          <w:sz w:val="20"/>
          <w:szCs w:val="20"/>
        </w:rPr>
        <w:t xml:space="preserve">• Personal delivery;</w:t>
      </w:r>
    </w:p>
    <w:p>
      <w:pPr>
        <w:ind w:left="360" w:hanging="180"/>
      </w:pPr>
      <w:r>
        <w:rPr>
          <w:sz w:val="20"/>
          <w:szCs w:val="20"/>
        </w:rPr>
        <w:t xml:space="preserve">• Nationally recognized overnight courier with tracking confirmation;</w:t>
      </w:r>
    </w:p>
    <w:p>
      <w:pPr>
        <w:ind w:left="360" w:hanging="180"/>
      </w:pPr>
      <w:r>
        <w:rPr>
          <w:sz w:val="20"/>
          <w:szCs w:val="20"/>
        </w:rPr>
        <w:t xml:space="preserve">• Certified or registered mail, return receipt requested; or</w:t>
      </w:r>
    </w:p>
    <w:p>
      <w:pPr>
        <w:ind w:left="360" w:hanging="180"/>
      </w:pPr>
      <w:r>
        <w:rPr>
          <w:sz w:val="20"/>
          <w:szCs w:val="20"/>
        </w:rPr>
        <w:t xml:space="preserve">• Email with confirmation of receipt.</w:t>
      </w:r>
    </w:p>
    <w:p>
      <w:pPr>
        <w:spacing w:after="120" w:line="276" w:lineRule="auto"/>
      </w:pPr>
      <w:r>
        <w:rPr>
          <w:sz w:val="20"/>
          <w:szCs w:val="20"/>
        </w:rPr>
        <w:t xml:space="preserve">**Section 16.3 — Amendment and Waiver** requires amendments, modifications, supplements, consents, waivers, and transaction-specific accommodations to be in writing and signed by duly authorized representatives of both Parties. Informal consent or course of dealing should not be relied upon.</w:t>
      </w:r>
    </w:p>
    <w:p>
      <w:pPr>
        <w:spacing w:after="120" w:line="276" w:lineRule="auto"/>
      </w:pPr>
      <w:r>
        <w:rPr>
          <w:sz w:val="20"/>
          <w:szCs w:val="20"/>
        </w:rPr>
        <w:t xml:space="preserve">Article 9 permits disclosure of Confidential Information to employees, officers and directors, advisors, accountants, attorneys, and Affiliates on a need-to-know basis, provided they are subject to confidentiality obligations no less protective than Article 9. There is no specific M&amp;A disclosure safe harbor. Confidentiality obligations survive for **five years** after expiration or termination under **Section 9.2**.</w:t>
      </w:r>
    </w:p>
    <w:p>
      <w:pPr>
        <w:pStyle w:val="Heading3"/>
      </w:pPr>
      <w:r>
        <w:rPr>
          <w:b/>
          <w:sz w:val="21"/>
          <w:szCs w:val="21"/>
        </w:rPr>
        <w:t xml:space="preserve">Consequences, remedies, and transaction tails</w:t>
      </w:r>
    </w:p>
    <w:p>
      <w:pPr>
        <w:spacing w:after="120" w:line="276" w:lineRule="auto"/>
      </w:pPr>
      <w:r>
        <w:rPr>
          <w:sz w:val="20"/>
          <w:szCs w:val="20"/>
        </w:rPr>
        <w:t xml:space="preserve">The Agreement contains no transaction-triggered termination, acceleration, buy-out, put, call, premium, price reset, or mandatory renegotiation.</w:t>
      </w:r>
    </w:p>
    <w:p>
      <w:pPr>
        <w:spacing w:after="120" w:line="276" w:lineRule="auto"/>
      </w:pPr>
      <w:r>
        <w:rPr>
          <w:sz w:val="20"/>
          <w:szCs w:val="20"/>
        </w:rPr>
        <w:t xml:space="preserve">A prohibited transfer is void under Section 14.2 and could also support breach or equitable-relief claims. Relevant provisions include:</w:t>
      </w:r>
    </w:p>
    <w:p>
      <w:pPr>
        <w:ind w:left="360" w:hanging="180"/>
      </w:pPr>
      <w:r>
        <w:rPr>
          <w:sz w:val="20"/>
          <w:szCs w:val="20"/>
        </w:rPr>
        <w:t xml:space="preserve">• **Section 13.3 — Termination for Cause:** Either Party may terminate for an uncured material breach after **60 days** following written notice specifying the breach. It also permits termination for specified insolvency, bankruptcy, receivership, or general-assignment events.</w:t>
      </w:r>
    </w:p>
    <w:p>
      <w:pPr>
        <w:ind w:left="360" w:hanging="180"/>
      </w:pPr>
      <w:r>
        <w:rPr>
          <w:sz w:val="20"/>
          <w:szCs w:val="20"/>
        </w:rPr>
        <w:t xml:space="preserve">• **Section 15.3 — Injunctive Relief:** Permits equitable relief to prevent irreparable harm.</w:t>
      </w:r>
    </w:p>
    <w:p>
      <w:pPr>
        <w:ind w:left="360" w:hanging="180"/>
      </w:pPr>
      <w:r>
        <w:rPr>
          <w:sz w:val="20"/>
          <w:szCs w:val="20"/>
        </w:rPr>
        <w:t xml:space="preserve">• **Section 15.4 — Prevailing Party:** Permits recovery of specified fees and costs by the prevailing party.</w:t>
      </w:r>
    </w:p>
    <w:p>
      <w:pPr>
        <w:ind w:left="360" w:hanging="180"/>
      </w:pPr>
      <w:r>
        <w:rPr>
          <w:sz w:val="20"/>
          <w:szCs w:val="20"/>
        </w:rPr>
        <w:t xml:space="preserve">• **Section 13.4 — Termination for Convenience:** Either Party may terminate without cause on **12 months’ prior written notice**. Accepted Purchase Orders remain subject to performance: Northland must accept and pay for Products covered by accepted Purchase Orders, unless properly cancelled under **Section 3.3**; Apex must complete and deliver accepted Purchase Orders.</w:t>
      </w:r>
    </w:p>
    <w:p>
      <w:pPr>
        <w:ind w:left="360" w:hanging="180"/>
      </w:pPr>
      <w:r>
        <w:rPr>
          <w:sz w:val="20"/>
          <w:szCs w:val="20"/>
        </w:rPr>
        <w:t xml:space="preserve">• **Section 13.5 — Effect of Termination:** Accrued liabilities survive, as do, among others, Articles 7, 8, 9, and 10 and Sections 14.2, 15, and 16. There is no express transaction-specific run-off or tail, but accepted Purchase Orders, warranties, indemnities, confidentiality, assignment restrictions, insurance, and other accrued obligations may continue.</w:t>
      </w:r>
    </w:p>
    <w:p>
      <w:pPr>
        <w:ind w:left="360" w:hanging="180"/>
      </w:pPr>
      <w:r>
        <w:rPr>
          <w:sz w:val="20"/>
          <w:szCs w:val="20"/>
        </w:rPr>
        <w:t xml:space="preserve">• **Section 4.2 — Price Adjustments:** Either Party may initiate annual pricing discussions on at least **90 days’ prior notice** to the applicable anniversary. If no agreement is reached, existing pricing continues for an additional **90-day** negotiation period, after which either Party may terminate on **180 days’ prior written notice**.</w:t>
      </w:r>
    </w:p>
    <w:p>
      <w:pPr>
        <w:ind w:left="360" w:hanging="180"/>
      </w:pPr>
      <w:r>
        <w:rPr>
          <w:sz w:val="20"/>
          <w:szCs w:val="20"/>
        </w:rPr>
        <w:t xml:space="preserve">• **Sections 2.3 and 4.3 — Volume economics:** Northland has a **$30 million** annual Minimum Purchase Commitment, but failure to meet it is not a material breach. Purchases above **$35 million** receive a **3% discount** on excess purchases; purchases below **$25 million** permit Apex to increase pricing by up to **5%** for the next Contract Year on **60 days’** prior written notice.</w:t>
      </w:r>
    </w:p>
    <w:p>
      <w:pPr>
        <w:ind w:left="360" w:hanging="180"/>
      </w:pPr>
      <w:r>
        <w:rPr>
          <w:sz w:val="20"/>
          <w:szCs w:val="20"/>
        </w:rPr>
        <w:t xml:space="preserve">• **Section 12.2:** A Force Majeure Event continuing for more than **180 consecutive days** permits termination on **30 days’** prior written notice.</w:t>
      </w:r>
    </w:p>
    <w:p>
      <w:pPr>
        <w:pStyle w:val="Heading3"/>
      </w:pPr>
      <w:r>
        <w:rPr>
          <w:b/>
          <w:sz w:val="21"/>
          <w:szCs w:val="21"/>
        </w:rPr>
        <w:t xml:space="preserve">Other material transaction risks</w:t>
      </w:r>
    </w:p>
    <w:p>
      <w:pPr>
        <w:ind w:left="360" w:hanging="180"/>
      </w:pPr>
      <w:r>
        <w:rPr>
          <w:sz w:val="20"/>
          <w:szCs w:val="20"/>
        </w:rPr>
        <w:t xml:space="preserve">1. **Manufacturing and sourcing changes:** Under **Section 6.5**, Apex must provide at least **90 days’ advance written notice** and obtain Northland’s prior written approval for process, raw-material, sub-supplier, or component-source changes reasonably likely to affect quality, performance, or reliability.</w:t>
      </w:r>
    </w:p>
    <w:p>
      <w:pPr>
        <w:ind w:left="360" w:hanging="180"/>
      </w:pPr>
      <w:r>
        <w:rPr>
          <w:sz w:val="20"/>
          <w:szCs w:val="20"/>
        </w:rPr>
        <w:t xml:space="preserve">2. **Subcontracting:** Under **Section 14.1**, Northland’s prior written consent is required for any new subcontractor not listed on Exhibit C. Consent may not be unreasonably withheld, conditioned, or delayed.</w:t>
      </w:r>
    </w:p>
    <w:p>
      <w:pPr>
        <w:ind w:left="360" w:hanging="180"/>
      </w:pPr>
      <w:r>
        <w:rPr>
          <w:sz w:val="20"/>
          <w:szCs w:val="20"/>
        </w:rPr>
        <w:t xml:space="preserve">3. **Quality and certification:** Apex must maintain **ISO 9001:2015** certification under **Section 6.2** and use commercially reasonable efforts to regain certification within **90 days** after loss or suspension.</w:t>
      </w:r>
    </w:p>
    <w:p>
      <w:pPr>
        <w:ind w:left="360" w:hanging="180"/>
      </w:pPr>
      <w:r>
        <w:rPr>
          <w:sz w:val="20"/>
          <w:szCs w:val="20"/>
        </w:rPr>
        <w:t xml:space="preserve">4. **Intellectual property:** Article 8 retains Product-related IP with Apex and grants Northland only a limited intended-use right. Any acquisition of Apex’s Product business should confirm that required patents, designs, trade secrets, know-how, technical information, and manufacturing rights remain available.</w:t>
      </w:r>
    </w:p>
    <w:p>
      <w:pPr>
        <w:ind w:left="360" w:hanging="180"/>
      </w:pPr>
      <w:r>
        <w:rPr>
          <w:sz w:val="20"/>
          <w:szCs w:val="20"/>
        </w:rPr>
        <w:t xml:space="preserve">5. **Liability allocation:** Under **Section 10.4**, consequential, punitive, special, exemplary, and similar damages are generally excluded, subject to exceptions for indemnification obligations and confidentiality breaches. Apex’s aggregate liability is capped at amounts paid by Northland during the preceding **12 months**.</w:t>
      </w:r>
    </w:p>
    <w:p>
      <w:pPr>
        <w:ind w:left="360" w:hanging="180"/>
      </w:pPr>
      <w:r>
        <w:rPr>
          <w:sz w:val="20"/>
          <w:szCs w:val="20"/>
        </w:rPr>
        <w:t xml:space="preserve">6. **Insurance:** Under **Section 11.1**, specified insurance must be maintained during the Term and for **three years after expiration or termination**.</w:t>
      </w:r>
    </w:p>
    <w:p>
      <w:pPr>
        <w:ind w:left="360" w:hanging="180"/>
      </w:pPr>
      <w:r>
        <w:rPr>
          <w:sz w:val="20"/>
          <w:szCs w:val="20"/>
        </w:rPr>
        <w:t xml:space="preserve">7. **Term and renewal:** The initial term expired on **January 14, 2024**. Under **Section 13.2**, the first three-year Renewal Term began **January 15, 2024** and expires **January 14, 2027**. Non-renewal requires at least **180 days’ prior written notice** before the applicable expiration date. Current effectiveness and any prior non-renewal or termination notice should be verified.</w:t>
      </w:r>
    </w:p>
    <w:p>
      <w:pPr>
        <w:ind w:left="360" w:hanging="180"/>
      </w:pPr>
      <w:r>
        <w:rPr>
          <w:sz w:val="20"/>
          <w:szCs w:val="20"/>
        </w:rPr>
        <w:t xml:space="preserve">8. **Outstanding Purchase Orders:** Accepted but incomplete Purchase Orders may create committed spend, manufacturing-in-process, delivery, cancellation, warranty, and payment exposure.</w:t>
      </w:r>
    </w:p>
    <w:p>
      <w:pPr>
        <w:ind w:left="360" w:hanging="180"/>
      </w:pPr>
      <w:r>
        <w:rPr>
          <w:sz w:val="20"/>
          <w:szCs w:val="20"/>
        </w:rPr>
        <w:t xml:space="preserve">9. **Non-exclusivity:** Under Section 2.2, each Party may transact with third parties, including competitors, reducing exclusivity risk but potentially increasing competitive and supply-allocation concerns.</w:t>
      </w:r>
    </w:p>
    <w:p>
      <w:pPr>
        <w:pStyle w:val="Heading3"/>
      </w:pPr>
      <w:r>
        <w:rPr>
          <w:b/>
          <w:sz w:val="21"/>
          <w:szCs w:val="21"/>
        </w:rPr>
        <w:t xml:space="preserve">Risk rating</w:t>
      </w:r>
    </w:p>
    <w:p>
      <w:pPr>
        <w:ind w:left="360" w:hanging="180"/>
      </w:pPr>
      <w:r>
        <w:rPr>
          <w:sz w:val="20"/>
          <w:szCs w:val="20"/>
        </w:rPr>
        <w:t xml:space="preserve">• **High risk:** Merger, consolidation, statutory conversion, legal-entity reorganization, asset sale, or any transaction transferring the Agreement or related rights or obligations. The risk results from Section 14.2’s broad scope, operation-of-law language, sole-and-absolute-discretion consent standard, and void-transfer remedy.</w:t>
      </w:r>
    </w:p>
    <w:p>
      <w:pPr>
        <w:ind w:left="360" w:hanging="180"/>
      </w:pPr>
      <w:r>
        <w:rPr>
          <w:sz w:val="20"/>
          <w:szCs w:val="20"/>
        </w:rPr>
        <w:t xml:space="preserve">• **Medium risk:** Pure stock acquisition or upstream change of control. No express trigger applies, but the Agreement lacks a stock-sale safe harbor and related transaction steps may implicate Section 14.2 or operational-change provisions.</w:t>
      </w:r>
    </w:p>
    <w:p>
      <w:pPr>
        <w:pStyle w:val="Heading3"/>
      </w:pPr>
      <w:r>
        <w:rPr>
          <w:b/>
          <w:sz w:val="21"/>
          <w:szCs w:val="21"/>
        </w:rPr>
        <w:t xml:space="preserve">Recommended diligence and closing actions</w:t>
      </w:r>
    </w:p>
    <w:p>
      <w:pPr>
        <w:ind w:left="360" w:hanging="180"/>
      </w:pPr>
      <w:r>
        <w:rPr>
          <w:sz w:val="20"/>
          <w:szCs w:val="20"/>
        </w:rPr>
        <w:t xml:space="preserve">1. Confirm the precise transaction structure and identify any merger, conversion, reorganization, asset transfer, or assignment steps.</w:t>
      </w:r>
    </w:p>
    <w:p>
      <w:pPr>
        <w:ind w:left="360" w:hanging="180"/>
      </w:pPr>
      <w:r>
        <w:rPr>
          <w:sz w:val="20"/>
          <w:szCs w:val="20"/>
        </w:rPr>
        <w:t xml:space="preserve">2. Obtain prior written consent under Section 14.2 for any non-exempt transfer, merger, conversion, or asset transaction.</w:t>
      </w:r>
    </w:p>
    <w:p>
      <w:pPr>
        <w:ind w:left="360" w:hanging="180"/>
      </w:pPr>
      <w:r>
        <w:rPr>
          <w:sz w:val="20"/>
          <w:szCs w:val="20"/>
        </w:rPr>
        <w:t xml:space="preserve">3. For a stock acquisition or upstream change, obtain a signed acknowledgment that the transaction is not an assignment, transfer, or delegation and does not trigger termination, repricing, or renegotiation.</w:t>
      </w:r>
    </w:p>
    <w:p>
      <w:pPr>
        <w:ind w:left="360" w:hanging="180"/>
      </w:pPr>
      <w:r>
        <w:rPr>
          <w:sz w:val="20"/>
          <w:szCs w:val="20"/>
        </w:rPr>
        <w:t xml:space="preserve">4. If relying on the Affiliate exception, confirm the recipient satisfies the **more-than-50%** control test, deliver notice within **30 days after assignment**, and address continuing joint and several liability and any required assumption or credit support.</w:t>
      </w:r>
    </w:p>
    <w:p>
      <w:pPr>
        <w:ind w:left="360" w:hanging="180"/>
      </w:pPr>
      <w:r>
        <w:rPr>
          <w:sz w:val="20"/>
          <w:szCs w:val="20"/>
        </w:rPr>
        <w:t xml:space="preserve">5. Review all accepted and outstanding Purchase Orders, committed spend, work in process, cancellation rights, delivery obligations, and warranty exposure.</w:t>
      </w:r>
    </w:p>
    <w:p>
      <w:pPr>
        <w:ind w:left="360" w:hanging="180"/>
      </w:pPr>
      <w:r>
        <w:rPr>
          <w:sz w:val="20"/>
          <w:szCs w:val="20"/>
        </w:rPr>
        <w:t xml:space="preserve">6. Verify current term status, renewal, non-renewal, termination, and pricing notices, including the **January 14, 2027** renewal expiration and applicable **180-day** notice deadline.</w:t>
      </w:r>
    </w:p>
    <w:p>
      <w:pPr>
        <w:ind w:left="360" w:hanging="180"/>
      </w:pPr>
      <w:r>
        <w:rPr>
          <w:sz w:val="20"/>
          <w:szCs w:val="20"/>
        </w:rPr>
        <w:t xml:space="preserve">7. Identify planned post-closing changes to facilities, processes, materials, suppliers, subcontractors, or component sources and obtain required notices and approvals under Sections 6.5 and 14.1.</w:t>
      </w:r>
    </w:p>
    <w:p>
      <w:pPr>
        <w:ind w:left="360" w:hanging="180"/>
      </w:pPr>
      <w:r>
        <w:rPr>
          <w:sz w:val="20"/>
          <w:szCs w:val="20"/>
        </w:rPr>
        <w:t xml:space="preserve">8. Conduct diligence and transaction disclosure consistently with Article 9, using need-to-know recipients and equivalent confidentiality protections.</w:t>
      </w:r>
    </w:p>
    <w:p>
      <w:pPr>
        <w:ind w:left="360" w:hanging="180"/>
      </w:pPr>
      <w:r>
        <w:rPr>
          <w:sz w:val="20"/>
          <w:szCs w:val="20"/>
        </w:rPr>
        <w:t xml:space="preserve">9. Confirm continuity of Product IP, ISO certification, regulatory and quality compliance, insurance—including the **three-year** post-termination requirement—and warranty and indemnity coverage.</w:t>
      </w:r>
    </w:p>
    <w:p>
      <w:pPr>
        <w:ind w:left="360" w:hanging="180"/>
      </w:pPr>
      <w:r>
        <w:rPr>
          <w:sz w:val="20"/>
          <w:szCs w:val="20"/>
        </w:rPr>
        <w:t xml:space="preserve">10. Document all consents, waivers, and acknowledgments in signed writings under Section 16.3 and deliver them using the methods in Section 16.1.</w:t>
      </w:r>
    </w:p>
    <w:p>
      <w:pPr>
        <w:ind w:left="360" w:hanging="180"/>
      </w:pPr>
      <w:r>
        <w:rPr>
          <w:sz w:val="20"/>
          <w:szCs w:val="20"/>
        </w:rPr>
        <w:t xml:space="preserve">11. Model post-closing volume and pricing effects, including the potential **5%** increase below **$25 million**, the **3%** discount above **$35 million**, the **$30 million** minimum commitment, and the Section 4.2 pricing-discussion and termination mechanics.</w:t>
      </w:r>
    </w:p>
    <w:p>
      <w:pPr>
        <w:pStyle w:val="Heading1"/>
      </w:pPr>
      <w:r>
        <w:rPr>
          <w:b/>
          <w:sz w:val="28"/>
          <w:szCs w:val="28"/>
        </w:rPr>
        <w:t xml:space="preserve">PacWest Supply Agreement</w:t>
      </w:r>
    </w:p>
    <w:p>
      <w:r>
        <w:rPr>
          <w:i/>
          <w:sz w:val="18"/>
          <w:szCs w:val="18"/>
        </w:rPr>
        <w:t xml:space="preserve">Source file: pacwest-supply-agreement.docx.txt</w:t>
      </w:r>
    </w:p>
    <w:p>
      <w:pPr>
        <w:pStyle w:val="Heading2"/>
      </w:pPr>
      <w:r>
        <w:rPr>
          <w:b/>
          <w:sz w:val="24"/>
          <w:szCs w:val="24"/>
        </w:rPr>
        <w:t xml:space="preserve">Change-of-Control and Transaction Risk</w:t>
      </w:r>
    </w:p>
    <w:p>
      <w:pPr>
        <w:pStyle w:val="Heading3"/>
      </w:pPr>
      <w:r>
        <w:rPr>
          <w:b/>
          <w:sz w:val="21"/>
          <w:szCs w:val="21"/>
        </w:rPr>
        <w:t xml:space="preserve">Parties and Context</w:t>
      </w:r>
    </w:p>
    <w:p>
      <w:pPr>
        <w:spacing w:after="120" w:line="276" w:lineRule="auto"/>
      </w:pPr>
      <w:r>
        <w:rPr>
          <w:sz w:val="20"/>
          <w:szCs w:val="20"/>
        </w:rPr>
        <w:t xml:space="preserve">The agreement is between **Apex** (the “Supplier”) and **PacWest**, a California municipal authority. Apex is organized in Delaware. The agreement concerns the supply of Products to PacWest and was awarded through PacWest’s vendor qualification and procurement process. The agreement is governed by **Texas law**, with exclusive jurisdiction in **Travis County, Texas** (Articles 14–15).</w:t>
      </w:r>
    </w:p>
    <w:p>
      <w:pPr>
        <w:spacing w:after="120" w:line="276" w:lineRule="auto"/>
      </w:pPr>
      <w:r>
        <w:rPr>
          <w:sz w:val="20"/>
          <w:szCs w:val="20"/>
        </w:rPr>
        <w:t xml:space="preserve">The Initial Term expired on **May 31, 2026**, unless earlier terminated. The agreement automatically renews for successive one-year periods unless either party provides at least **180 days’ written notice of non-renewal** before the end of the then-current term (Section 10.2). The current renewal status must be confirmed.</w:t>
      </w:r>
    </w:p>
    <w:p>
      <w:pPr>
        <w:pStyle w:val="Heading3"/>
      </w:pPr>
      <w:r>
        <w:rPr>
          <w:b/>
          <w:sz w:val="21"/>
          <w:szCs w:val="21"/>
        </w:rPr>
        <w:t xml:space="preserve">Express Change-of-Control Clause and Triggers</w:t>
      </w:r>
    </w:p>
    <w:p>
      <w:pPr>
        <w:spacing w:after="120" w:line="276" w:lineRule="auto"/>
      </w:pPr>
      <w:r>
        <w:rPr>
          <w:sz w:val="20"/>
          <w:szCs w:val="20"/>
        </w:rPr>
        <w:t xml:space="preserve">Article 1, Section **1.1(c)** defines “Change of Control” to include:</w:t>
      </w:r>
    </w:p>
    <w:p>
      <w:pPr>
        <w:ind w:left="360" w:hanging="180"/>
      </w:pPr>
      <w:r>
        <w:rPr>
          <w:sz w:val="20"/>
          <w:szCs w:val="20"/>
        </w:rPr>
        <w:t xml:space="preserve">1. **Any merger, consolidation, or reorganization of Apex with or into another entity**;</w:t>
      </w:r>
    </w:p>
    <w:p>
      <w:pPr>
        <w:ind w:left="360" w:hanging="180"/>
      </w:pPr>
      <w:r>
        <w:rPr>
          <w:sz w:val="20"/>
          <w:szCs w:val="20"/>
        </w:rPr>
        <w:t xml:space="preserve">2. **The sale or transfer of all or substantially all of Apex’s assets**;</w:t>
      </w:r>
    </w:p>
    <w:p>
      <w:pPr>
        <w:ind w:left="360" w:hanging="180"/>
      </w:pPr>
      <w:r>
        <w:rPr>
          <w:sz w:val="20"/>
          <w:szCs w:val="20"/>
        </w:rPr>
        <w:t xml:space="preserve">3. Any transaction or series of related transactions in which a person or group, as those terms are used in **Section 13(d) of the Securities Exchange Act of 1934**, acquires beneficial ownership of **more than 50% of Apex’s outstanding voting securities**; or</w:t>
      </w:r>
    </w:p>
    <w:p>
      <w:pPr>
        <w:ind w:left="360" w:hanging="180"/>
      </w:pPr>
      <w:r>
        <w:rPr>
          <w:sz w:val="20"/>
          <w:szCs w:val="20"/>
        </w:rPr>
        <w:t xml:space="preserve">4. **Any direct or indirect change in Apex’s ultimate ownership or control.**</w:t>
      </w:r>
    </w:p>
    <w:p>
      <w:pPr>
        <w:spacing w:after="120" w:line="276" w:lineRule="auto"/>
      </w:pPr>
      <w:r>
        <w:rPr>
          <w:sz w:val="20"/>
          <w:szCs w:val="20"/>
        </w:rPr>
        <w:t xml:space="preserve">The definition is broad and contains no materiality threshold or exception for transactions that do not affect performance. It also contains no express exception for affiliate transfers, internal reorganizations, parent-level transactions, financing transactions, public-company trading, passive investments, board changes, or transactions approved in advance by PacWest. Related transactions are aggregated.</w:t>
      </w:r>
    </w:p>
    <w:p>
      <w:pPr>
        <w:pStyle w:val="Heading3"/>
      </w:pPr>
      <w:r>
        <w:rPr>
          <w:b/>
          <w:sz w:val="21"/>
          <w:szCs w:val="21"/>
        </w:rPr>
        <w:t xml:space="preserve">Treatment of Transaction Structures</w:t>
      </w:r>
    </w:p>
    <w:p>
      <w:pPr>
        <w:ind w:left="360" w:hanging="180"/>
      </w:pPr>
      <w:r>
        <w:rPr>
          <w:sz w:val="20"/>
          <w:szCs w:val="20"/>
        </w:rPr>
        <w:t xml:space="preserve">• **Stock acquisition:** Expressly covered if a person or group acquires beneficial ownership of **more than 50%** of Apex’s outstanding voting securities. A transaction below that threshold could nevertheless be covered by the broader “direct or indirect change in ultimate ownership or control” language.</w:t>
      </w:r>
    </w:p>
    <w:p>
      <w:pPr>
        <w:ind w:left="360" w:hanging="180"/>
      </w:pPr>
      <w:r>
        <w:rPr>
          <w:sz w:val="20"/>
          <w:szCs w:val="20"/>
        </w:rPr>
        <w:t xml:space="preserve">• **Merger, consolidation, or reorganization:** Expressly covered, whether or not Apex survives, whether ownership changes by more or less than 50%, and whether the transaction is internal or with an affiliate.</w:t>
      </w:r>
    </w:p>
    <w:p>
      <w:pPr>
        <w:ind w:left="360" w:hanging="180"/>
      </w:pPr>
      <w:r>
        <w:rPr>
          <w:sz w:val="20"/>
          <w:szCs w:val="20"/>
        </w:rPr>
        <w:t xml:space="preserve">• **Upstream or indirect change:** Likely covered. A change in control of Apex’s parent, holding company, or other upstream entity may constitute an indirect change in Apex’s ultimate ownership or control.</w:t>
      </w:r>
    </w:p>
    <w:p>
      <w:pPr>
        <w:ind w:left="360" w:hanging="180"/>
      </w:pPr>
      <w:r>
        <w:rPr>
          <w:sz w:val="20"/>
          <w:szCs w:val="20"/>
        </w:rPr>
        <w:t xml:space="preserve">• **Asset sale:** Covered if Apex sells or transfers **all or substantially all** of its assets. A transfer of a division, product line, plant, or selected assets is not expressly addressed unless it meets that standard or otherwise changes ultimate control.</w:t>
      </w:r>
    </w:p>
    <w:p>
      <w:pPr>
        <w:ind w:left="360" w:hanging="180"/>
      </w:pPr>
      <w:r>
        <w:rPr>
          <w:sz w:val="20"/>
          <w:szCs w:val="20"/>
        </w:rPr>
        <w:t xml:space="preserve">• **Management or operational control:** A change in officers, directors, day-to-day management, management arrangements, or voting arrangements is not an independent express trigger. It may nevertheless be covered if it effects a change in ultimate control.</w:t>
      </w:r>
    </w:p>
    <w:p>
      <w:pPr>
        <w:ind w:left="360" w:hanging="180"/>
      </w:pPr>
      <w:r>
        <w:rPr>
          <w:sz w:val="20"/>
          <w:szCs w:val="20"/>
        </w:rPr>
        <w:t xml:space="preserve">• **Minority investment:** Not expressly covered by the 50% voting-security prong, but potentially covered under the broader ultimate-control language.</w:t>
      </w:r>
    </w:p>
    <w:p>
      <w:pPr>
        <w:pStyle w:val="Heading3"/>
      </w:pPr>
      <w:r>
        <w:rPr>
          <w:b/>
          <w:sz w:val="21"/>
          <w:szCs w:val="21"/>
        </w:rPr>
        <w:t xml:space="preserve">Consent, Notice, and Timing</w:t>
      </w:r>
    </w:p>
    <w:p>
      <w:pPr>
        <w:spacing w:after="120" w:line="276" w:lineRule="auto"/>
      </w:pPr>
      <w:r>
        <w:rPr>
          <w:sz w:val="20"/>
          <w:szCs w:val="20"/>
        </w:rPr>
        <w:t xml:space="preserve">Under Section **10.5(a)**, Apex must provide written notice to PacWest of a Change of Control **within 10 business days after consummation**. The notice must describe:</w:t>
      </w:r>
    </w:p>
    <w:p>
      <w:pPr>
        <w:ind w:left="360" w:hanging="180"/>
      </w:pPr>
      <w:r>
        <w:rPr>
          <w:sz w:val="20"/>
          <w:szCs w:val="20"/>
        </w:rPr>
        <w:t xml:space="preserve">• The transaction;</w:t>
      </w:r>
    </w:p>
    <w:p>
      <w:pPr>
        <w:ind w:left="360" w:hanging="180"/>
      </w:pPr>
      <w:r>
        <w:rPr>
          <w:sz w:val="20"/>
          <w:szCs w:val="20"/>
        </w:rPr>
        <w:t xml:space="preserve">• The acquiring entity or new controlling person or persons; and</w:t>
      </w:r>
    </w:p>
    <w:p>
      <w:pPr>
        <w:ind w:left="360" w:hanging="180"/>
      </w:pPr>
      <w:r>
        <w:rPr>
          <w:sz w:val="20"/>
          <w:szCs w:val="20"/>
        </w:rPr>
        <w:t xml:space="preserve">• The anticipated impact on Apex’s ability to perform.</w:t>
      </w:r>
    </w:p>
    <w:p>
      <w:pPr>
        <w:spacing w:after="120" w:line="276" w:lineRule="auto"/>
      </w:pPr>
      <w:r>
        <w:rPr>
          <w:sz w:val="20"/>
          <w:szCs w:val="20"/>
        </w:rPr>
        <w:t xml:space="preserve">The clause does not expressly require advance notice, but advance consent is advisable. Under Section **10.5(b)**, upon receiving notice—or upon otherwise learning of the Change of Control—PacWest may, in its **sole discretion**:</w:t>
      </w:r>
    </w:p>
    <w:p>
      <w:pPr>
        <w:ind w:left="360" w:hanging="180"/>
      </w:pPr>
      <w:r>
        <w:rPr>
          <w:sz w:val="20"/>
          <w:szCs w:val="20"/>
        </w:rPr>
        <w:t xml:space="preserve">1. Consent to continuation of the agreement with the successor or reconstituted Supplier; or</w:t>
      </w:r>
    </w:p>
    <w:p>
      <w:pPr>
        <w:ind w:left="360" w:hanging="180"/>
      </w:pPr>
      <w:r>
        <w:rPr>
          <w:sz w:val="20"/>
          <w:szCs w:val="20"/>
        </w:rPr>
        <w:t xml:space="preserve">2. Terminate the agreement on **90 days’ written notice** to Apex or its successor.</w:t>
      </w:r>
    </w:p>
    <w:p>
      <w:pPr>
        <w:spacing w:after="120" w:line="276" w:lineRule="auto"/>
      </w:pPr>
      <w:r>
        <w:rPr>
          <w:sz w:val="20"/>
          <w:szCs w:val="20"/>
        </w:rPr>
        <w:t xml:space="preserve">Under Section **10.5(c)**, if PacWest’s consent is not obtained within **60 days after closing**, PacWest may exercise its termination right at any time thereafter. Silence does not constitute consent and does not waive PacWest’s termination rights. This creates a potentially indefinite post-closing consent risk.</w:t>
      </w:r>
    </w:p>
    <w:p>
      <w:pPr>
        <w:spacing w:after="120" w:line="276" w:lineRule="auto"/>
      </w:pPr>
      <w:r>
        <w:rPr>
          <w:sz w:val="20"/>
          <w:szCs w:val="20"/>
        </w:rPr>
        <w:t xml:space="preserve">Formal notices under Section **16.1** must be in writing and delivered by hand, nationally recognized overnight courier, or certified U.S. mail, return receipt requested, and are effective upon receipt. PacWest notices must be directed to **Sandra Liu, Director of Purchasing**, with a copy to the **PacWest Office of General Counsel**. Email is not an authorized formal delivery method under Section 16.1.</w:t>
      </w:r>
    </w:p>
    <w:p>
      <w:pPr>
        <w:pStyle w:val="Heading3"/>
      </w:pPr>
      <w:r>
        <w:rPr>
          <w:b/>
          <w:sz w:val="21"/>
          <w:szCs w:val="21"/>
        </w:rPr>
        <w:t xml:space="preserve">Assignment and Transfer Restrictions</w:t>
      </w:r>
    </w:p>
    <w:p>
      <w:pPr>
        <w:spacing w:after="120" w:line="276" w:lineRule="auto"/>
      </w:pPr>
      <w:r>
        <w:rPr>
          <w:sz w:val="20"/>
          <w:szCs w:val="20"/>
        </w:rPr>
        <w:t xml:space="preserve">Under Section **12.2**, Apex may not assign the agreement or any rights or obligations, whether by operation of law or otherwise, without PacWest’s prior written consent, which may be withheld in PacWest’s sole discretion. A noncompliant assignment is **“null and void and of no force or effect.”**</w:t>
      </w:r>
    </w:p>
    <w:p>
      <w:pPr>
        <w:spacing w:after="120" w:line="276" w:lineRule="auto"/>
      </w:pPr>
      <w:r>
        <w:rPr>
          <w:sz w:val="20"/>
          <w:szCs w:val="20"/>
        </w:rPr>
        <w:t xml:space="preserve">Section 12.2 expressly provides that a Change of Control governed by Section 10.5 is **not deemed an assignment** for purposes of Section 12.2, provided the Change of Control complies with Section 10.5. The better reading is that Section 10.5, rather than separate assignment consent under Section 12.2, governs the transaction; however, PacWest retains the practical ability to reject continuation by terminating under Section 10.5.</w:t>
      </w:r>
    </w:p>
    <w:p>
      <w:pPr>
        <w:spacing w:after="120" w:line="276" w:lineRule="auto"/>
      </w:pPr>
      <w:r>
        <w:rPr>
          <w:sz w:val="20"/>
          <w:szCs w:val="20"/>
        </w:rPr>
        <w:t xml:space="preserve">Section **12.3** binds and benefits the parties and their “permitted successors and assigns,” but does not independently authorize a successor transaction. Apex has no express general delegation or subcontracting right. Transfers of manufacturing, operational responsibility, or performance to an affiliate should therefore be reviewed for both assignment and substantive performance risks.</w:t>
      </w:r>
    </w:p>
    <w:p>
      <w:pPr>
        <w:spacing w:after="120" w:line="276" w:lineRule="auto"/>
      </w:pPr>
      <w:r>
        <w:rPr>
          <w:sz w:val="20"/>
          <w:szCs w:val="20"/>
        </w:rPr>
        <w:t xml:space="preserve">PacWest may assign the agreement, in whole or in part, to a successor municipal authority, governmental entity, or agency without Apex’s prior consent, provided PacWest gives written notice within **30 days after the assignment** (Section 12.1).</w:t>
      </w:r>
    </w:p>
    <w:p>
      <w:pPr>
        <w:spacing w:after="120" w:line="276" w:lineRule="auto"/>
      </w:pPr>
      <w:r>
        <w:rPr>
          <w:sz w:val="20"/>
          <w:szCs w:val="20"/>
        </w:rPr>
        <w:t xml:space="preserve">Section **7.2** also grants PacWest a **“non-exclusive, non-transferable”** license to use Products and embedded software, firmware, and other intellectual property for PacWest’s internal operations during the useful life of the Products. Asset transactions or separation of product/IP ownership may create additional transferability and continuity concerns.</w:t>
      </w:r>
    </w:p>
    <w:p>
      <w:pPr>
        <w:pStyle w:val="Heading3"/>
      </w:pPr>
      <w:r>
        <w:rPr>
          <w:b/>
          <w:sz w:val="21"/>
          <w:szCs w:val="21"/>
        </w:rPr>
        <w:t xml:space="preserve">Consequences, Remedies, and Economic Terms</w:t>
      </w:r>
    </w:p>
    <w:p>
      <w:pPr>
        <w:spacing w:after="120" w:line="276" w:lineRule="auto"/>
      </w:pPr>
      <w:r>
        <w:rPr>
          <w:sz w:val="20"/>
          <w:szCs w:val="20"/>
        </w:rPr>
        <w:t xml:space="preserve">A Change of Control does not automatically terminate the agreement or make the transaction void. PacWest’s express remedy is discretionary consent or termination on **90 days’ written notice**. The agreement provides no:</w:t>
      </w:r>
    </w:p>
    <w:p>
      <w:pPr>
        <w:ind w:left="360" w:hanging="180"/>
      </w:pPr>
      <w:r>
        <w:rPr>
          <w:sz w:val="20"/>
          <w:szCs w:val="20"/>
        </w:rPr>
        <w:t xml:space="preserve">• Termination fee;</w:t>
      </w:r>
    </w:p>
    <w:p>
      <w:pPr>
        <w:ind w:left="360" w:hanging="180"/>
      </w:pPr>
      <w:r>
        <w:rPr>
          <w:sz w:val="20"/>
          <w:szCs w:val="20"/>
        </w:rPr>
        <w:t xml:space="preserve">• Buy-out, put, or call right;</w:t>
      </w:r>
    </w:p>
    <w:p>
      <w:pPr>
        <w:ind w:left="360" w:hanging="180"/>
      </w:pPr>
      <w:r>
        <w:rPr>
          <w:sz w:val="20"/>
          <w:szCs w:val="20"/>
        </w:rPr>
        <w:t xml:space="preserve">• Acceleration of amounts owed;</w:t>
      </w:r>
    </w:p>
    <w:p>
      <w:pPr>
        <w:ind w:left="360" w:hanging="180"/>
      </w:pPr>
      <w:r>
        <w:rPr>
          <w:sz w:val="20"/>
          <w:szCs w:val="20"/>
        </w:rPr>
        <w:t xml:space="preserve">• Pricing reset or premium;</w:t>
      </w:r>
    </w:p>
    <w:p>
      <w:pPr>
        <w:ind w:left="360" w:hanging="180"/>
      </w:pPr>
      <w:r>
        <w:rPr>
          <w:sz w:val="20"/>
          <w:szCs w:val="20"/>
        </w:rPr>
        <w:t xml:space="preserve">• Mandatory renegotiation;</w:t>
      </w:r>
    </w:p>
    <w:p>
      <w:pPr>
        <w:ind w:left="360" w:hanging="180"/>
      </w:pPr>
      <w:r>
        <w:rPr>
          <w:sz w:val="20"/>
          <w:szCs w:val="20"/>
        </w:rPr>
        <w:t xml:space="preserve">• Inventory repurchase right;</w:t>
      </w:r>
    </w:p>
    <w:p>
      <w:pPr>
        <w:ind w:left="360" w:hanging="180"/>
      </w:pPr>
      <w:r>
        <w:rPr>
          <w:sz w:val="20"/>
          <w:szCs w:val="20"/>
        </w:rPr>
        <w:t xml:space="preserve">• Lost-profit compensation; or</w:t>
      </w:r>
    </w:p>
    <w:p>
      <w:pPr>
        <w:ind w:left="360" w:hanging="180"/>
      </w:pPr>
      <w:r>
        <w:rPr>
          <w:sz w:val="20"/>
          <w:szCs w:val="20"/>
        </w:rPr>
        <w:t xml:space="preserve">• Minimum-volume wind-down payment.</w:t>
      </w:r>
    </w:p>
    <w:p>
      <w:pPr>
        <w:spacing w:after="120" w:line="276" w:lineRule="auto"/>
      </w:pPr>
      <w:r>
        <w:rPr>
          <w:sz w:val="20"/>
          <w:szCs w:val="20"/>
        </w:rPr>
        <w:t xml:space="preserve">During any 90-day termination notice period, Section **10.5(d)** requires Apex or its successor to:</w:t>
      </w:r>
    </w:p>
    <w:p>
      <w:pPr>
        <w:ind w:left="360" w:hanging="180"/>
      </w:pPr>
      <w:r>
        <w:rPr>
          <w:sz w:val="20"/>
          <w:szCs w:val="20"/>
        </w:rPr>
        <w:t xml:space="preserve">• Continue fulfilling all outstanding Purchase Orders;</w:t>
      </w:r>
    </w:p>
    <w:p>
      <w:pPr>
        <w:ind w:left="360" w:hanging="180"/>
      </w:pPr>
      <w:r>
        <w:rPr>
          <w:sz w:val="20"/>
          <w:szCs w:val="20"/>
        </w:rPr>
        <w:t xml:space="preserve">• Maintain the quality, availability, and timeliness of Products; and</w:t>
      </w:r>
    </w:p>
    <w:p>
      <w:pPr>
        <w:ind w:left="360" w:hanging="180"/>
      </w:pPr>
      <w:r>
        <w:rPr>
          <w:sz w:val="20"/>
          <w:szCs w:val="20"/>
        </w:rPr>
        <w:t xml:space="preserve">• Continue complying with all agreement obligations.</w:t>
      </w:r>
    </w:p>
    <w:p>
      <w:pPr>
        <w:spacing w:after="120" w:line="276" w:lineRule="auto"/>
      </w:pPr>
      <w:r>
        <w:rPr>
          <w:sz w:val="20"/>
          <w:szCs w:val="20"/>
        </w:rPr>
        <w:t xml:space="preserve">Under Section **10.6**, Purchase Orders accepted before the termination notice must be fulfilled after termination. The following also survive termination: Article 6 warranties, Article 7 intellectual property, Article 8 confidentiality, Article 9 indemnification and liability provisions, Article 15 governing law and jurisdiction, and other provisions intended by their nature to survive. These obligations constitute a contractual run-off and post-termination tail.</w:t>
      </w:r>
    </w:p>
    <w:p>
      <w:pPr>
        <w:pStyle w:val="Heading3"/>
      </w:pPr>
      <w:r>
        <w:rPr>
          <w:b/>
          <w:sz w:val="21"/>
          <w:szCs w:val="21"/>
        </w:rPr>
        <w:t xml:space="preserve">Other Material Transaction Risks</w:t>
      </w:r>
    </w:p>
    <w:p>
      <w:pPr>
        <w:ind w:left="360" w:hanging="180"/>
      </w:pPr>
      <w:r>
        <w:rPr>
          <w:sz w:val="20"/>
          <w:szCs w:val="20"/>
        </w:rPr>
        <w:t xml:space="preserve">• **PacWest termination for convenience:** PacWest may terminate without cause on **120 days’ prior written notice** under Section 10.4, subject to payment for accepted Products delivered before termination and documented, reasonable work-in-progress costs committed as of notice, capped at the value of PacWest’s most recent quarterly forecast.</w:t>
      </w:r>
    </w:p>
    <w:p>
      <w:pPr>
        <w:ind w:left="360" w:hanging="180"/>
      </w:pPr>
      <w:r>
        <w:rPr>
          <w:sz w:val="20"/>
          <w:szCs w:val="20"/>
        </w:rPr>
        <w:t xml:space="preserve">• **Termination for cause:** Either party may terminate for uncured material breach after **30 days’** written notice (Section 10.3). Failure to provide Change-of-Control notice could potentially constitute a breach, although automatic termination is not stated.</w:t>
      </w:r>
    </w:p>
    <w:p>
      <w:pPr>
        <w:ind w:left="360" w:hanging="180"/>
      </w:pPr>
      <w:r>
        <w:rPr>
          <w:sz w:val="20"/>
          <w:szCs w:val="20"/>
        </w:rPr>
        <w:t xml:space="preserve">• **Renewal uncertainty:** The Initial Term expired on **May 31, 2026**; diligence must confirm whether a timely 180-day non-renewal notice was given and whether the agreement entered a Renewal Term.</w:t>
      </w:r>
    </w:p>
    <w:p>
      <w:pPr>
        <w:ind w:left="360" w:hanging="180"/>
      </w:pPr>
      <w:r>
        <w:rPr>
          <w:sz w:val="20"/>
          <w:szCs w:val="20"/>
        </w:rPr>
        <w:t xml:space="preserve">• **Open-order and wind-down exposure:** The buyer must identify open Purchase Orders, work in progress, PacWest-specific inventory, delivery commitments, warranty claims, recalls, and obligations continuing beyond closing.</w:t>
      </w:r>
    </w:p>
    <w:p>
      <w:pPr>
        <w:ind w:left="360" w:hanging="180"/>
      </w:pPr>
      <w:r>
        <w:rPr>
          <w:sz w:val="20"/>
          <w:szCs w:val="20"/>
        </w:rPr>
        <w:t xml:space="preserve">• **Minimum purchase commitment:** PacWest has a minimum annual purchase commitment of **$4 million**. If unmet, Apex’s sole remedy is a reduction in the volume-discount tier for the following contract year; there is no termination right or purchase-shortfall damages.</w:t>
      </w:r>
    </w:p>
    <w:p>
      <w:pPr>
        <w:ind w:left="360" w:hanging="180"/>
      </w:pPr>
      <w:r>
        <w:rPr>
          <w:sz w:val="20"/>
          <w:szCs w:val="20"/>
        </w:rPr>
        <w:t xml:space="preserve">• **Operational and compliance continuity:** Sections **2.5** and **5.1–5.4** require capacity consistent with forecasts, subject to a stated **20% variance**, compliance with specifications and regulatory standards, and maintenance of **ISO 9001:2015** or successor certification. Ownership, facility, personnel, or supply-chain changes could create performance or compliance issues.</w:t>
      </w:r>
    </w:p>
    <w:p>
      <w:pPr>
        <w:ind w:left="360" w:hanging="180"/>
      </w:pPr>
      <w:r>
        <w:rPr>
          <w:sz w:val="20"/>
          <w:szCs w:val="20"/>
        </w:rPr>
        <w:t xml:space="preserve">• **Representations, insurance, and indemnity:** Section **13.2** contains representations regarding permits, non-infringement, ISO certification, and litigation or governmental investigations. Section **9.4** requires at least **$5 million per occurrence** commercial general liability coverage, **$10 million aggregate** product liability coverage, and legally required workers’ compensation. Sections **9.1–9.3** include a liability cap based on amounts paid during the preceding **24 months**, together with broad product, negligence, breach, and IP indemnities. These obligations survive termination.</w:t>
      </w:r>
    </w:p>
    <w:p>
      <w:pPr>
        <w:ind w:left="360" w:hanging="180"/>
      </w:pPr>
      <w:r>
        <w:rPr>
          <w:sz w:val="20"/>
          <w:szCs w:val="20"/>
        </w:rPr>
        <w:t xml:space="preserve">• **Municipal procurement risk:** PacWest may require requalification, vendor approval, ownership disclosure, or other procurement review for a new owner, even though the agreement does not expressly require it.</w:t>
      </w:r>
    </w:p>
    <w:p>
      <w:pPr>
        <w:ind w:left="360" w:hanging="180"/>
      </w:pPr>
      <w:r>
        <w:rPr>
          <w:sz w:val="20"/>
          <w:szCs w:val="20"/>
        </w:rPr>
        <w:t xml:space="preserve">• **Confidentiality and public-records exposure:** PacWest is subject to the California Public Records Act. Trade-secret, pricing, technical, and manufacturing information may have limited practical confidentiality protection.</w:t>
      </w:r>
    </w:p>
    <w:p>
      <w:pPr>
        <w:ind w:left="360" w:hanging="180"/>
      </w:pPr>
      <w:r>
        <w:rPr>
          <w:sz w:val="20"/>
          <w:szCs w:val="20"/>
        </w:rPr>
        <w:t xml:space="preserve">• **Dispute-performance obligations:** The parties must continue performance during the dispute process, which includes **30 days** of executive negotiation, up to **60 days** of non-binding mediation, and litigation in Travis County, Texas (Articles 14–15).</w:t>
      </w:r>
    </w:p>
    <w:p>
      <w:pPr>
        <w:pStyle w:val="Heading3"/>
      </w:pPr>
      <w:r>
        <w:rPr>
          <w:b/>
          <w:sz w:val="21"/>
          <w:szCs w:val="21"/>
        </w:rPr>
        <w:t xml:space="preserve">Risk Rating: High</w:t>
      </w:r>
    </w:p>
    <w:p>
      <w:pPr>
        <w:spacing w:after="120" w:line="276" w:lineRule="auto"/>
      </w:pPr>
      <w:r>
        <w:rPr>
          <w:sz w:val="20"/>
          <w:szCs w:val="20"/>
        </w:rPr>
        <w:t xml:space="preserve">The risk is **High** because the clause covers direct and indirect ownership/control changes, mergers, reorganizations, and major asset sales; lacks materiality and affiliate exceptions; gives PacWest sole discretion to consent or terminate; provides no deemed consent; permits the transaction to close before PacWest’s position is known; and imposes 90-day run-off, accepted-order, warranty, indemnity, confidentiality, and other survival obligations without transaction compensation.</w:t>
      </w:r>
    </w:p>
    <w:p>
      <w:pPr>
        <w:pStyle w:val="Heading3"/>
      </w:pPr>
      <w:r>
        <w:rPr>
          <w:b/>
          <w:sz w:val="21"/>
          <w:szCs w:val="21"/>
        </w:rPr>
        <w:t xml:space="preserve">Recommended Diligence and Closing Actions</w:t>
      </w:r>
    </w:p>
    <w:p>
      <w:pPr>
        <w:ind w:left="360" w:hanging="180"/>
      </w:pPr>
      <w:r>
        <w:rPr>
          <w:sz w:val="20"/>
          <w:szCs w:val="20"/>
        </w:rPr>
        <w:t xml:space="preserve">1. Map Apex’s direct and indirect ownership chain and review parent-level transactions, voting agreements, preferred securities, options, warrants, and other control rights.</w:t>
      </w:r>
    </w:p>
    <w:p>
      <w:pPr>
        <w:ind w:left="360" w:hanging="180"/>
      </w:pPr>
      <w:r>
        <w:rPr>
          <w:sz w:val="20"/>
          <w:szCs w:val="20"/>
        </w:rPr>
        <w:t xml:space="preserve">2. Analyze the proposed transaction under all four Section 1.1(c) prongs, including whether any assets constitute all or substantially all of Apex’s assets.</w:t>
      </w:r>
    </w:p>
    <w:p>
      <w:pPr>
        <w:ind w:left="360" w:hanging="180"/>
      </w:pPr>
      <w:r>
        <w:rPr>
          <w:sz w:val="20"/>
          <w:szCs w:val="20"/>
        </w:rPr>
        <w:t xml:space="preserve">3. Review transactions since **June 1, 2021** for any prior unreported Change of Control, including mergers, reorganizations, recapitalizations, upstream acquisitions, and major asset transfers.</w:t>
      </w:r>
    </w:p>
    <w:p>
      <w:pPr>
        <w:ind w:left="360" w:hanging="180"/>
      </w:pPr>
      <w:r>
        <w:rPr>
          <w:sz w:val="20"/>
          <w:szCs w:val="20"/>
        </w:rPr>
        <w:t xml:space="preserve">4. Confirm the current contract term, any **180-day** non-renewal notice, prior termination or breach notices, and whether the agreement renewed after **May 31, 2026**.</w:t>
      </w:r>
    </w:p>
    <w:p>
      <w:pPr>
        <w:ind w:left="360" w:hanging="180"/>
      </w:pPr>
      <w:r>
        <w:rPr>
          <w:sz w:val="20"/>
          <w:szCs w:val="20"/>
        </w:rPr>
        <w:t xml:space="preserve">5. Obtain PacWest’s written consent to continuation before closing if practicable. The consent should identify the transaction and successor/new controller and confirm continuation without a transaction-based termination right.</w:t>
      </w:r>
    </w:p>
    <w:p>
      <w:pPr>
        <w:ind w:left="360" w:hanging="180"/>
      </w:pPr>
      <w:r>
        <w:rPr>
          <w:sz w:val="20"/>
          <w:szCs w:val="20"/>
        </w:rPr>
        <w:t xml:space="preserve">6. If advance consent is unavailable, consider making consent a closing condition or obtain an appropriate seller representation, indemnity, escrow, or other allocation of termination risk. Deliver the Section 10.5(a) notice immediately upon closing if required.</w:t>
      </w:r>
    </w:p>
    <w:p>
      <w:pPr>
        <w:ind w:left="360" w:hanging="180"/>
      </w:pPr>
      <w:r>
        <w:rPr>
          <w:sz w:val="20"/>
          <w:szCs w:val="20"/>
        </w:rPr>
        <w:t xml:space="preserve">7. Comply strictly with Section 16.1 delivery mechanics; do not rely solely on email.</w:t>
      </w:r>
    </w:p>
    <w:p>
      <w:pPr>
        <w:ind w:left="360" w:hanging="180"/>
      </w:pPr>
      <w:r>
        <w:rPr>
          <w:sz w:val="20"/>
          <w:szCs w:val="20"/>
        </w:rPr>
        <w:t xml:space="preserve">8. Seek a waiver or amendment addressing continuation of Purchase Orders, vendor requalification, warranties, indemnities, IP rights, affiliate transfers, and future reorganizations.</w:t>
      </w:r>
    </w:p>
    <w:p>
      <w:pPr>
        <w:ind w:left="360" w:hanging="180"/>
      </w:pPr>
      <w:r>
        <w:rPr>
          <w:sz w:val="20"/>
          <w:szCs w:val="20"/>
        </w:rPr>
        <w:t xml:space="preserve">9. Request exceptions for controlled-affiliate transfers, internal reorganizations, ordinary-course public-company trading, passive holdings below an agreed threshold, non-control equity issuances, and transactions approved by PacWest. Seek deemed consent if PacWest does not object within an agreed period.</w:t>
      </w:r>
    </w:p>
    <w:p>
      <w:pPr>
        <w:ind w:left="360" w:hanging="180"/>
      </w:pPr>
      <w:r>
        <w:rPr>
          <w:sz w:val="20"/>
          <w:szCs w:val="20"/>
        </w:rPr>
        <w:t xml:space="preserve">10. Confirm successor manufacturing, quality, regulatory, insurance, financial, personnel, and supply-chain capabilities.</w:t>
      </w:r>
    </w:p>
    <w:p>
      <w:pPr>
        <w:ind w:left="360" w:hanging="180"/>
      </w:pPr>
      <w:r>
        <w:rPr>
          <w:sz w:val="20"/>
          <w:szCs w:val="20"/>
        </w:rPr>
        <w:t xml:space="preserve">11. In an asset transaction, obtain express consent for transferred contractual rights, confirm IP and license continuity, and allocate responsibility for accepted Purchase Orders, warranties, indemnities, product liability, confidentiality, regulatory matters, and the 90-day termination run-off.</w:t>
      </w:r>
    </w:p>
    <w:p>
      <w:pPr>
        <w:ind w:left="360" w:hanging="180"/>
      </w:pPr>
      <w:r>
        <w:rPr>
          <w:sz w:val="20"/>
          <w:szCs w:val="20"/>
        </w:rPr>
        <w:t xml:space="preserve">12. Obtain a current PacWest estoppel or status confirmation covering no uncured default, current term and renewal status, no pending termination or non-renewal notice, no known Change-of-Control objection, current Purchase Orders and claims, and willingness to continue with the post-transaction entity.</w:t>
      </w:r>
    </w:p>
    <w:p>
      <w:pPr>
        <w:pStyle w:val="Heading1"/>
      </w:pPr>
      <w:r>
        <w:rPr>
          <w:b/>
          <w:sz w:val="28"/>
          <w:szCs w:val="28"/>
        </w:rPr>
        <w:t xml:space="preserve">Product Liability Policy</w:t>
      </w:r>
    </w:p>
    <w:p>
      <w:r>
        <w:rPr>
          <w:i/>
          <w:sz w:val="18"/>
          <w:szCs w:val="18"/>
        </w:rPr>
        <w:t xml:space="preserve">Source file: product-liability-policy.docx.txt</w:t>
      </w:r>
    </w:p>
    <w:p>
      <w:pPr>
        <w:pStyle w:val="Heading2"/>
      </w:pPr>
      <w:r>
        <w:rPr>
          <w:b/>
          <w:sz w:val="24"/>
          <w:szCs w:val="24"/>
        </w:rPr>
        <w:t xml:space="preserve">Product Liability Insurance—Change-of-Control Diligence</w:t>
      </w:r>
    </w:p>
    <w:p>
      <w:pPr>
        <w:pStyle w:val="Heading3"/>
      </w:pPr>
      <w:r>
        <w:rPr>
          <w:b/>
          <w:sz w:val="21"/>
          <w:szCs w:val="21"/>
        </w:rPr>
        <w:t xml:space="preserve">Parties and policy context</w:t>
      </w:r>
    </w:p>
    <w:p>
      <w:pPr>
        <w:spacing w:after="120" w:line="276" w:lineRule="auto"/>
      </w:pPr>
      <w:r>
        <w:rPr>
          <w:sz w:val="20"/>
          <w:szCs w:val="20"/>
        </w:rPr>
        <w:t xml:space="preserve">The policy is the **Great Lakes Indemnity Company Products Liability and Completed Operations Liability Insurance Policy**, Policy No. **GLI-PL-2024-07823**, issued to **Apex Industrial Technologies, Inc.** as Named Insured for the period **October 1, 2024–September 30, 2025**. Schedule C includes **Apex Industrial Technologies, Inc.** and **Apex-Kenji Precision JV, LLC**, which is stated to be **55% owned by the Named Insured**, subject to limited product-related coverage. The policy has a broad retroactive date of **January 1, 2010** and provides, among other limits, a **$25 million products-completed operations aggregate** and a **$25 million general aggregate**.</w:t>
      </w:r>
    </w:p>
    <w:p>
      <w:pPr>
        <w:pStyle w:val="Heading3"/>
      </w:pPr>
      <w:r>
        <w:rPr>
          <w:b/>
          <w:sz w:val="21"/>
          <w:szCs w:val="21"/>
        </w:rPr>
        <w:t xml:space="preserve">Express change-of-control provision and triggers</w:t>
      </w:r>
    </w:p>
    <w:p>
      <w:pPr>
        <w:spacing w:after="120" w:line="276" w:lineRule="auto"/>
      </w:pPr>
      <w:r>
        <w:rPr>
          <w:sz w:val="20"/>
          <w:szCs w:val="20"/>
        </w:rPr>
        <w:t xml:space="preserve">Section II defines “Change of Control” broadly and expressly includes:</w:t>
      </w:r>
    </w:p>
    <w:p>
      <w:pPr>
        <w:ind w:left="360" w:hanging="180"/>
      </w:pPr>
      <w:r>
        <w:rPr>
          <w:sz w:val="20"/>
          <w:szCs w:val="20"/>
        </w:rPr>
        <w:t xml:space="preserve">• **Direct or beneficial ownership acquisition—Section II(a):** acquisition by any “person, entity, or group” of **50% or more of the outstanding voting securities** of the Named Insured. “Group” incorporates the concept in **Section 13(d)(3) of the Securities Exchange Act of 1934**, potentially capturing coordinated or indirect ownership arrangements.</w:t>
      </w:r>
    </w:p>
    <w:p>
      <w:pPr>
        <w:ind w:left="360" w:hanging="180"/>
      </w:pPr>
      <w:r>
        <w:rPr>
          <w:sz w:val="20"/>
          <w:szCs w:val="20"/>
        </w:rPr>
        <w:t xml:space="preserve">• **Merger, consolidation, amalgamation, or statutory share exchange—Section II(b):** a transaction in which (i) the Named Insured is not the surviving entity, or (ii) the Named Insured survives but holders of its voting securities immediately before the transaction hold **less than 50%** of the voting securities of the surviving entity immediately afterward.</w:t>
      </w:r>
    </w:p>
    <w:p>
      <w:pPr>
        <w:ind w:left="360" w:hanging="180"/>
      </w:pPr>
      <w:r>
        <w:rPr>
          <w:sz w:val="20"/>
          <w:szCs w:val="20"/>
        </w:rPr>
        <w:t xml:space="preserve">• **Asset transaction—Section II(c):** a sale, lease, exchange, or other transfer of **all or substantially all of the assets** of the Named Insured.</w:t>
      </w:r>
    </w:p>
    <w:p>
      <w:pPr>
        <w:ind w:left="360" w:hanging="180"/>
      </w:pPr>
      <w:r>
        <w:rPr>
          <w:sz w:val="20"/>
          <w:szCs w:val="20"/>
        </w:rPr>
        <w:t xml:space="preserve">• **Ultimate-control change—Section II(d):** any transaction or series of related transactions resulting in a change in the **ultimate controlling person or entity** of the Named Insured.</w:t>
      </w:r>
    </w:p>
    <w:p>
      <w:pPr>
        <w:spacing w:after="120" w:line="276" w:lineRule="auto"/>
      </w:pPr>
      <w:r>
        <w:rPr>
          <w:sz w:val="20"/>
          <w:szCs w:val="20"/>
        </w:rPr>
        <w:t xml:space="preserve">Section II(d) is a broad catch-all and may capture an upstream acquisition, indirect ownership change, holding-company transaction, multi-step reorganization, or other transaction that changes ultimate control, even if no single direct stock acquisition reaches 50%.</w:t>
      </w:r>
    </w:p>
    <w:p>
      <w:pPr>
        <w:spacing w:after="120" w:line="276" w:lineRule="auto"/>
      </w:pPr>
      <w:r>
        <w:rPr>
          <w:sz w:val="20"/>
          <w:szCs w:val="20"/>
        </w:rPr>
        <w:t xml:space="preserve">There is no express exception for internal reorganizations, upstream or affiliate transactions, transfers among existing shareholders, estate-planning transfers, changes involving a parent or controlling shareholder, transactions in which the Named Insured remains the same legal entity, or transactions approved by the insurer. The policy also does not provide a general exception where existing shareholders retain control, other than the limited merger test in Section II(b).</w:t>
      </w:r>
    </w:p>
    <w:p>
      <w:pPr>
        <w:pStyle w:val="Heading3"/>
      </w:pPr>
      <w:r>
        <w:rPr>
          <w:b/>
          <w:sz w:val="21"/>
          <w:szCs w:val="21"/>
        </w:rPr>
        <w:t xml:space="preserve">Treatment of transaction structures</w:t>
      </w:r>
    </w:p>
    <w:p>
      <w:pPr>
        <w:ind w:left="360" w:hanging="180"/>
      </w:pPr>
      <w:r>
        <w:rPr>
          <w:sz w:val="20"/>
          <w:szCs w:val="20"/>
        </w:rPr>
        <w:t xml:space="preserve">• **Direct stock acquisition:** acquisition of **50% or more** of voting securities is an express trigger under Section II(a). An acquisition below 50% is not expressly covered by Section II(a), but may trigger Section II(d) if ultimate control changes.</w:t>
      </w:r>
    </w:p>
    <w:p>
      <w:pPr>
        <w:ind w:left="360" w:hanging="180"/>
      </w:pPr>
      <w:r>
        <w:rPr>
          <w:sz w:val="20"/>
          <w:szCs w:val="20"/>
        </w:rPr>
        <w:t xml:space="preserve">• **Beneficial, group, or coordinated acquisition:** potentially covered through the Section 13(d)(3) “group” concept.</w:t>
      </w:r>
    </w:p>
    <w:p>
      <w:pPr>
        <w:ind w:left="360" w:hanging="180"/>
      </w:pPr>
      <w:r>
        <w:rPr>
          <w:sz w:val="20"/>
          <w:szCs w:val="20"/>
        </w:rPr>
        <w:t xml:space="preserve">• **Merger:** triggers Section II(b) if the Named Insured does not survive or if its pre-transaction voting holders retain **less than 50%** of the surviving entity. A merger in which the Named Insured survives and pre-transaction holders retain at least 50% is not expressly triggered by Section II(b), but may still fall within Section II(d).</w:t>
      </w:r>
    </w:p>
    <w:p>
      <w:pPr>
        <w:ind w:left="360" w:hanging="180"/>
      </w:pPr>
      <w:r>
        <w:rPr>
          <w:sz w:val="20"/>
          <w:szCs w:val="20"/>
        </w:rPr>
        <w:t xml:space="preserve">• **Upstream or indirect acquisition:** not specifically named, but likely subject to Section II(d) if the ultimate controlling person or entity changes.</w:t>
      </w:r>
    </w:p>
    <w:p>
      <w:pPr>
        <w:ind w:left="360" w:hanging="180"/>
      </w:pPr>
      <w:r>
        <w:rPr>
          <w:sz w:val="20"/>
          <w:szCs w:val="20"/>
        </w:rPr>
        <w:t xml:space="preserve">• **Asset sale:** a sale, lease, exchange, or other transfer of **all or substantially all assets** is an express trigger under Section II(c). A transfer of less than substantially all assets is not expressly stated to trigger a Change of Control, although assignment restrictions remain relevant.</w:t>
      </w:r>
    </w:p>
    <w:p>
      <w:pPr>
        <w:ind w:left="360" w:hanging="180"/>
      </w:pPr>
      <w:r>
        <w:rPr>
          <w:sz w:val="20"/>
          <w:szCs w:val="20"/>
        </w:rPr>
        <w:t xml:space="preserve">• **Management or governance change:** there is no standalone trigger for a change in directors, officers, management, or day-to-day operational control. Such a change could nevertheless fall within Section II(d) if it changes the “ultimate controlling person or entity,” which is not defined and has no stated materiality threshold.</w:t>
      </w:r>
    </w:p>
    <w:p>
      <w:pPr>
        <w:ind w:left="360" w:hanging="180"/>
      </w:pPr>
      <w:r>
        <w:rPr>
          <w:sz w:val="20"/>
          <w:szCs w:val="20"/>
        </w:rPr>
        <w:t xml:space="preserve">• **Subsidiary or JV transaction:** a change involving the Schedule C JV or another subsidiary is not expressly a Change of Control of the Named Insured, although a transaction involving the Named Insured that changes ultimate control may affect the applicable coverage.</w:t>
      </w:r>
    </w:p>
    <w:p>
      <w:pPr>
        <w:pStyle w:val="Heading3"/>
      </w:pPr>
      <w:r>
        <w:rPr>
          <w:b/>
          <w:sz w:val="21"/>
          <w:szCs w:val="21"/>
        </w:rPr>
        <w:t xml:space="preserve">Automatic consequences</w:t>
      </w:r>
    </w:p>
    <w:p>
      <w:pPr>
        <w:spacing w:after="120" w:line="276" w:lineRule="auto"/>
      </w:pPr>
      <w:r>
        <w:rPr>
          <w:sz w:val="20"/>
          <w:szCs w:val="20"/>
        </w:rPr>
        <w:t xml:space="preserve">Under **Section IV.F.1**, a Change of Control causes the policy to:</w:t>
      </w:r>
    </w:p>
    <w:p>
      <w:pPr>
        <w:ind w:left="720"/>
      </w:pPr>
      <w:r>
        <w:rPr>
          <w:i/>
          <w:sz w:val="20"/>
          <w:szCs w:val="20"/>
        </w:rPr>
        <w:t xml:space="preserve">“automatically, and without the requirement of any notice from or action by the Insurer, convert to a Run-Off Basis effective as of the date of such Change of Control.”</w:t>
      </w:r>
    </w:p>
    <w:p>
      <w:pPr>
        <w:spacing w:after="120" w:line="276" w:lineRule="auto"/>
      </w:pPr>
      <w:r>
        <w:rPr>
          <w:sz w:val="20"/>
          <w:szCs w:val="20"/>
        </w:rPr>
        <w:t xml:space="preserve">The “Run-Off Conversion Date” is the transaction date. Following that date, coverage is limited to claims arising from products manufactured, sold, handled, distributed, or disposed of by the Named Insured **before** the Run-Off Conversion Date. Products manufactured, sold, handled, distributed, or disposed of on or after that date are not covered under the policy.</w:t>
      </w:r>
    </w:p>
    <w:p>
      <w:pPr>
        <w:spacing w:after="120" w:line="276" w:lineRule="auto"/>
      </w:pPr>
      <w:r>
        <w:rPr>
          <w:sz w:val="20"/>
          <w:szCs w:val="20"/>
        </w:rPr>
        <w:t xml:space="preserve">The policy therefore does not provide ongoing coverage for post-closing products, completed operations, or successor operations. Under **Section IV.F.5**, no successor entity, parent entity, or affiliate acquiring control receives coverage for post-Change-of-Control products unless it applies for and is issued a **new policy** by Great Lakes. The successor has no rights under the existing policy for products handled on or after the Run-Off Conversion Date.</w:t>
      </w:r>
    </w:p>
    <w:p>
      <w:pPr>
        <w:spacing w:after="120" w:line="276" w:lineRule="auto"/>
      </w:pPr>
      <w:r>
        <w:rPr>
          <w:sz w:val="20"/>
          <w:szCs w:val="20"/>
        </w:rPr>
        <w:t xml:space="preserve">Run-off continues only for the balance of the current policy period and is not automatically extended beyond **September 30, 2025**. Under **Section IV.F.3**, the Named Insured may request an extension of up to **36 months** beyond the original policy expiration date, but the insurer has no obligation to grant it, determines the additional premium in its sole discretion, and must receive the request in writing no later than **60 days before expiration of the then-current run-off period**.</w:t>
      </w:r>
    </w:p>
    <w:p>
      <w:pPr>
        <w:spacing w:after="120" w:line="276" w:lineRule="auto"/>
      </w:pPr>
      <w:r>
        <w:rPr>
          <w:sz w:val="20"/>
          <w:szCs w:val="20"/>
        </w:rPr>
        <w:t xml:space="preserve">Under **Section IV.F.4**, no return premium is payable for the unexpired portion of the policy period following run-off conversion. All premium paid or still due remains fully earned.</w:t>
      </w:r>
    </w:p>
    <w:p>
      <w:pPr>
        <w:pStyle w:val="Heading3"/>
      </w:pPr>
      <w:r>
        <w:rPr>
          <w:b/>
          <w:sz w:val="21"/>
          <w:szCs w:val="21"/>
        </w:rPr>
        <w:t xml:space="preserve">Assignment and transfer restrictions</w:t>
      </w:r>
    </w:p>
    <w:p>
      <w:pPr>
        <w:spacing w:after="120" w:line="276" w:lineRule="auto"/>
      </w:pPr>
      <w:r>
        <w:rPr>
          <w:sz w:val="20"/>
          <w:szCs w:val="20"/>
        </w:rPr>
        <w:t xml:space="preserve">**Section IV.E** provides:</w:t>
      </w:r>
    </w:p>
    <w:p>
      <w:pPr>
        <w:ind w:left="720"/>
      </w:pPr>
      <w:r>
        <w:rPr>
          <w:i/>
          <w:sz w:val="20"/>
          <w:szCs w:val="20"/>
        </w:rPr>
        <w:t xml:space="preserve">“This Policy and any rights hereunder shall not be assigned or transferred by the Named Insured without the prior written consent of the Insurer, which consent may be withheld in the Insurer’s sole and absolute discretion.”</w:t>
      </w:r>
    </w:p>
    <w:p>
      <w:pPr>
        <w:spacing w:after="120" w:line="276" w:lineRule="auto"/>
      </w:pPr>
      <w:r>
        <w:rPr>
          <w:sz w:val="20"/>
          <w:szCs w:val="20"/>
        </w:rPr>
        <w:t xml:space="preserve">Any purported assignment or transfer without consent is:</w:t>
      </w:r>
    </w:p>
    <w:p>
      <w:pPr>
        <w:ind w:left="720"/>
      </w:pPr>
      <w:r>
        <w:rPr>
          <w:i/>
          <w:sz w:val="20"/>
          <w:szCs w:val="20"/>
        </w:rPr>
        <w:t xml:space="preserve">“void and of no effect.”</w:t>
      </w:r>
    </w:p>
    <w:p>
      <w:pPr>
        <w:spacing w:after="120" w:line="276" w:lineRule="auto"/>
      </w:pPr>
      <w:r>
        <w:rPr>
          <w:sz w:val="20"/>
          <w:szCs w:val="20"/>
        </w:rPr>
        <w:t xml:space="preserve">The provision applies to transfers of the policy or policy rights in connection with an asset sale, merger, succession, assumption of coverage, transfer of claims or limits, or transaction document. There is no reasonableness standard, deemed-consent mechanism, or exception for transfers by operation of law. Section IV.E also states that it does not limit or modify the automatic conversion provisions of Section IV.F; therefore, assignment consent alone would not preserve post-closing coverage.</w:t>
      </w:r>
    </w:p>
    <w:p>
      <w:pPr>
        <w:spacing w:after="120" w:line="276" w:lineRule="auto"/>
      </w:pPr>
      <w:r>
        <w:rPr>
          <w:sz w:val="20"/>
          <w:szCs w:val="20"/>
        </w:rPr>
        <w:t xml:space="preserve">The policy has no separate delegation provision, but cooperation, notice, recordkeeping, and consent obligations remain material. The successor does not automatically acquire post-closing coverage.</w:t>
      </w:r>
    </w:p>
    <w:p>
      <w:pPr>
        <w:pStyle w:val="Heading3"/>
      </w:pPr>
      <w:r>
        <w:rPr>
          <w:b/>
          <w:sz w:val="21"/>
          <w:szCs w:val="21"/>
        </w:rPr>
        <w:t xml:space="preserve">Consent, notice, and timing requirements</w:t>
      </w:r>
    </w:p>
    <w:p>
      <w:pPr>
        <w:ind w:left="360" w:hanging="180"/>
      </w:pPr>
      <w:r>
        <w:rPr>
          <w:sz w:val="20"/>
          <w:szCs w:val="20"/>
        </w:rPr>
        <w:t xml:space="preserve">• **Assignment or transfer:** prior written insurer consent is required under Section IV.E; consent may be withheld in the insurer’s sole and absolute discretion.</w:t>
      </w:r>
    </w:p>
    <w:p>
      <w:pPr>
        <w:ind w:left="360" w:hanging="180"/>
      </w:pPr>
      <w:r>
        <w:rPr>
          <w:sz w:val="20"/>
          <w:szCs w:val="20"/>
        </w:rPr>
        <w:t xml:space="preserve">• **Change-of-Control notice:** under **Section IV.F.2**, the Named Insured must provide written notice to the insurer within **15 days after the effective date** of the Change of Control. Notice is not a prerequisite to conversion, and late notice does not prevent run-off conversion. If late notice prejudices the insurer’s investigation or defense, the insurer may void coverage for the affected claim.</w:t>
      </w:r>
    </w:p>
    <w:p>
      <w:pPr>
        <w:ind w:left="360" w:hanging="180"/>
      </w:pPr>
      <w:r>
        <w:rPr>
          <w:sz w:val="20"/>
          <w:szCs w:val="20"/>
        </w:rPr>
        <w:t xml:space="preserve">• **Replacement coverage:** under Section IV.F.5, a successor, parent, or acquiring affiliate must apply for and receive a new policy; issuance is not guaranteed.</w:t>
      </w:r>
    </w:p>
    <w:p>
      <w:pPr>
        <w:ind w:left="360" w:hanging="180"/>
      </w:pPr>
      <w:r>
        <w:rPr>
          <w:sz w:val="20"/>
          <w:szCs w:val="20"/>
        </w:rPr>
        <w:t xml:space="preserve">• **Tail election:** under **Endorsement No. 1**, written notice to purchase an Extended Reporting Period must be given within **30 days** of cancellation, non-renewal, or conversion to run-off. The available options are:</w:t>
      </w:r>
    </w:p>
    <w:p>
      <w:pPr>
        <w:ind w:left="360" w:hanging="180"/>
      </w:pPr>
      <w:r>
        <w:rPr>
          <w:sz w:val="20"/>
          <w:szCs w:val="20"/>
        </w:rPr>
        <w:t xml:space="preserve">• **12 months:** 75% of expiring annual premium, or **$365,625**;</w:t>
      </w:r>
    </w:p>
    <w:p>
      <w:pPr>
        <w:ind w:left="360" w:hanging="180"/>
      </w:pPr>
      <w:r>
        <w:rPr>
          <w:sz w:val="20"/>
          <w:szCs w:val="20"/>
        </w:rPr>
        <w:t xml:space="preserve">• **24 months:** 125%, or **$609,375**;</w:t>
      </w:r>
    </w:p>
    <w:p>
      <w:pPr>
        <w:ind w:left="360" w:hanging="180"/>
      </w:pPr>
      <w:r>
        <w:rPr>
          <w:sz w:val="20"/>
          <w:szCs w:val="20"/>
        </w:rPr>
        <w:t xml:space="preserve">• **36 months:** 175%, or **$853,125**.</w:t>
      </w:r>
    </w:p>
    <w:p>
      <w:pPr>
        <w:ind w:left="360" w:hanging="180"/>
      </w:pPr>
      <w:r>
        <w:rPr>
          <w:sz w:val="20"/>
          <w:szCs w:val="20"/>
        </w:rPr>
        <w:t xml:space="preserve">• **Policy amendments:** under **Section IV.I**, no change, modification, or waiver is effective unless documented by a written endorsement issued by the insurer and attached to the policy.</w:t>
      </w:r>
    </w:p>
    <w:p>
      <w:pPr>
        <w:pStyle w:val="Heading3"/>
      </w:pPr>
      <w:r>
        <w:rPr>
          <w:b/>
          <w:sz w:val="21"/>
          <w:szCs w:val="21"/>
        </w:rPr>
        <w:t xml:space="preserve">Tail and run-off coverage</w:t>
      </w:r>
    </w:p>
    <w:p>
      <w:pPr>
        <w:spacing w:after="120" w:line="276" w:lineRule="auto"/>
      </w:pPr>
      <w:r>
        <w:rPr>
          <w:sz w:val="20"/>
          <w:szCs w:val="20"/>
        </w:rPr>
        <w:t xml:space="preserve">The Endorsement No. 1 tail covers claims first made and reported during the selected tail period arising from products handled during the original policy period or a prior consecutive policy period with the insurer. It does not create new limits; claims erode the existing **$25 million products-completed operations aggregate** and **$25 million general aggregate**. It does not cover products manufactured, sold, handled, distributed, or disposed of after the Conversion Date or after cancellation/non-renewal. Separate product-liability insurance is required for post-trigger products.</w:t>
      </w:r>
    </w:p>
    <w:p>
      <w:pPr>
        <w:spacing w:after="120" w:line="276" w:lineRule="auto"/>
      </w:pPr>
      <w:r>
        <w:rPr>
          <w:sz w:val="20"/>
          <w:szCs w:val="20"/>
        </w:rPr>
        <w:t xml:space="preserve">The endorsement states that the Named Insured or its successor may obtain the tail, subject to the applicable election period and additional premium. The policy does not state that insurer consent is required to purchase the tail, but payment of the specified premium is required.</w:t>
      </w:r>
    </w:p>
    <w:p>
      <w:pPr>
        <w:pStyle w:val="Heading3"/>
      </w:pPr>
      <w:r>
        <w:rPr>
          <w:b/>
          <w:sz w:val="21"/>
          <w:szCs w:val="21"/>
        </w:rPr>
        <w:t xml:space="preserve">Other material transaction risks</w:t>
      </w:r>
    </w:p>
    <w:p>
      <w:pPr>
        <w:ind w:left="360" w:hanging="180"/>
      </w:pPr>
      <w:r>
        <w:rPr>
          <w:sz w:val="20"/>
          <w:szCs w:val="20"/>
        </w:rPr>
        <w:t xml:space="preserve">• **Cancellation:** under Section IV.G, the insurer may cancel for any reason other than nonpayment on **60 days’ prior written notice**, or for nonpayment on **10 days’ prior written notice**. Insurer cancellation produces a pro rata return of unearned premium; Named Insured cancellation is subject to short-rate treatment. Cancellation does not affect claims arising from occurrences before cancellation.</w:t>
      </w:r>
    </w:p>
    <w:p>
      <w:pPr>
        <w:ind w:left="360" w:hanging="180"/>
      </w:pPr>
      <w:r>
        <w:rPr>
          <w:sz w:val="20"/>
          <w:szCs w:val="20"/>
        </w:rPr>
        <w:t xml:space="preserve">• **Claims reporting:** Sections IV.A and VI.A require occurrence notice as soon as practicable and no later than **30 days** after awareness, and forwarding claims and legal papers within **10 business days** of receipt. Historical late or incomplete reporting may impair legacy coverage.</w:t>
      </w:r>
    </w:p>
    <w:p>
      <w:pPr>
        <w:ind w:left="360" w:hanging="180"/>
      </w:pPr>
      <w:r>
        <w:rPr>
          <w:sz w:val="20"/>
          <w:szCs w:val="20"/>
        </w:rPr>
        <w:t xml:space="preserve">• **Cooperation and settlements:** under Sections IV.A, VI.B, and VI.C, voluntary payments, assumed obligations, and expenses generally require prior written insurer consent. The insurer cannot settle a claim exceeding **$500,000 per occurrence** without the Named Insured’s consent; if the Named Insured rejects a recommended settlement and the final result is higher, the Named Insured bears the excess.</w:t>
      </w:r>
    </w:p>
    <w:p>
      <w:pPr>
        <w:ind w:left="360" w:hanging="180"/>
      </w:pPr>
      <w:r>
        <w:rPr>
          <w:sz w:val="20"/>
          <w:szCs w:val="20"/>
        </w:rPr>
        <w:t xml:space="preserve">• **Aggregate erosion:** tail claims erode existing limits rather than creating fresh limits. Loss runs, known claims, reported circumstances, and aggregate-limit erosion require review.</w:t>
      </w:r>
    </w:p>
    <w:p>
      <w:pPr>
        <w:ind w:left="360" w:hanging="180"/>
      </w:pPr>
      <w:r>
        <w:rPr>
          <w:sz w:val="20"/>
          <w:szCs w:val="20"/>
        </w:rPr>
        <w:t xml:space="preserve">• **Records:** Schedule B makes Crestline ERP product-traceability and quality-control records material to claim investigation and adjustment and requires retention during the policy and any run-off period. Post-closing access and preservation must be addressed.</w:t>
      </w:r>
    </w:p>
    <w:p>
      <w:pPr>
        <w:ind w:left="360" w:hanging="180"/>
      </w:pPr>
      <w:r>
        <w:rPr>
          <w:sz w:val="20"/>
          <w:szCs w:val="20"/>
        </w:rPr>
        <w:t xml:space="preserve">• **Representations:** under Section IV.H, material misrepresentation or omission in the application or underwriting materials may allow the insurer to void the policy ab initio.</w:t>
      </w:r>
    </w:p>
    <w:p>
      <w:pPr>
        <w:ind w:left="360" w:hanging="180"/>
      </w:pPr>
      <w:r>
        <w:rPr>
          <w:sz w:val="20"/>
          <w:szCs w:val="20"/>
        </w:rPr>
        <w:t xml:space="preserve">• **Premium audit:** under Section III.C, the insurer may audit books and records during the policy period and for **three years after expiration or termination**. Additional or return premium is payable within **60 days** after audit results.</w:t>
      </w:r>
    </w:p>
    <w:p>
      <w:pPr>
        <w:ind w:left="360" w:hanging="180"/>
      </w:pPr>
      <w:r>
        <w:rPr>
          <w:sz w:val="20"/>
          <w:szCs w:val="20"/>
        </w:rPr>
        <w:t xml:space="preserve">• **Scope and exclusions:** coverage is limited to identified insureds and products. Schedule C coverage for the JV is limited to claims involving products incorporating the Named Insured’s proprietary designs, specifications, or components. Exclusions include nuclear power/NRC-licensed facilities, aviation applications, and certain third-party modifications or retrofits.</w:t>
      </w:r>
    </w:p>
    <w:p>
      <w:pPr>
        <w:ind w:left="360" w:hanging="180"/>
      </w:pPr>
      <w:r>
        <w:rPr>
          <w:sz w:val="20"/>
          <w:szCs w:val="20"/>
        </w:rPr>
        <w:t xml:space="preserve">• **Other insurance and subrogation:** Section IV.C makes the policy excess over other valid and collectible insurance unless the other policy is specifically excess over this policy. Section IV.D and Endorsement No. 2 provide limited subrogation-waiver protection only for specified claims involving **Northland Refining Corporation** and **PacWest Water Authority**, subject to stated limitations.</w:t>
      </w:r>
    </w:p>
    <w:p>
      <w:pPr>
        <w:pStyle w:val="Heading3"/>
      </w:pPr>
      <w:r>
        <w:rPr>
          <w:b/>
          <w:sz w:val="21"/>
          <w:szCs w:val="21"/>
        </w:rPr>
        <w:t xml:space="preserve">Risk rating: High</w:t>
      </w:r>
    </w:p>
    <w:p>
      <w:pPr>
        <w:spacing w:after="120" w:line="276" w:lineRule="auto"/>
      </w:pPr>
      <w:r>
        <w:rPr>
          <w:sz w:val="20"/>
          <w:szCs w:val="20"/>
        </w:rPr>
        <w:t xml:space="preserve">The risk is high because the policy automatically converts to run-off on the transaction date, provides no post-closing product coverage or automatic successor coverage, contains broad ultimate-control language, prohibits unauthorized assignment, requires expensive and limit-eroding tail coverage, provides no return premium, and may involve substantial legacy exposure given the **January 1, 2010** retroactive date.</w:t>
      </w:r>
    </w:p>
    <w:p>
      <w:pPr>
        <w:pStyle w:val="Heading3"/>
      </w:pPr>
      <w:r>
        <w:rPr>
          <w:b/>
          <w:sz w:val="21"/>
          <w:szCs w:val="21"/>
        </w:rPr>
        <w:t xml:space="preserve">Recommended diligence and closing actions</w:t>
      </w:r>
    </w:p>
    <w:p>
      <w:pPr>
        <w:spacing w:after="120" w:line="276" w:lineRule="auto"/>
      </w:pPr>
      <w:r>
        <w:rPr>
          <w:sz w:val="20"/>
          <w:szCs w:val="20"/>
        </w:rPr>
        <w:t xml:space="preserve">Before signing and closing, the buyer should:</w:t>
      </w:r>
    </w:p>
    <w:p>
      <w:pPr>
        <w:ind w:left="360" w:hanging="180"/>
      </w:pPr>
      <w:r>
        <w:rPr>
          <w:sz w:val="20"/>
          <w:szCs w:val="20"/>
        </w:rPr>
        <w:t xml:space="preserve">1. Obtain the complete underwriting file, applications, broker submissions, claims history, loss runs, notices of circumstances, insurer correspondence, prior policies, endorsements, and amendments.</w:t>
      </w:r>
    </w:p>
    <w:p>
      <w:pPr>
        <w:ind w:left="360" w:hanging="180"/>
      </w:pPr>
      <w:r>
        <w:rPr>
          <w:sz w:val="20"/>
          <w:szCs w:val="20"/>
        </w:rPr>
        <w:t xml:space="preserve">2. Confirm the transaction structure, including direct and indirect ownership, voting percentages, merger-survivor status, upstream transactions, asset transfers, and management or governance changes.</w:t>
      </w:r>
    </w:p>
    <w:p>
      <w:pPr>
        <w:ind w:left="360" w:hanging="180"/>
      </w:pPr>
      <w:r>
        <w:rPr>
          <w:sz w:val="20"/>
          <w:szCs w:val="20"/>
        </w:rPr>
        <w:t xml:space="preserve">3. Obtain written insurer confirmation whether the proposed transaction constitutes a Change of Control.</w:t>
      </w:r>
    </w:p>
    <w:p>
      <w:pPr>
        <w:ind w:left="360" w:hanging="180"/>
      </w:pPr>
      <w:r>
        <w:rPr>
          <w:sz w:val="20"/>
          <w:szCs w:val="20"/>
        </w:rPr>
        <w:t xml:space="preserve">4. Seek an insurer-issued endorsement or consent waiving or modifying Section IV.F, preserving post-closing coverage, and expressly permitting any assignment, merger, or successor structure.</w:t>
      </w:r>
    </w:p>
    <w:p>
      <w:pPr>
        <w:ind w:left="360" w:hanging="180"/>
      </w:pPr>
      <w:r>
        <w:rPr>
          <w:sz w:val="20"/>
          <w:szCs w:val="20"/>
        </w:rPr>
        <w:t xml:space="preserve">5. Obtain a replacement policy or binding binder before closing covering post-closing products, completed operations, acquired entities and facilities, successors, parents, and affiliates.</w:t>
      </w:r>
    </w:p>
    <w:p>
      <w:pPr>
        <w:ind w:left="360" w:hanging="180"/>
      </w:pPr>
      <w:r>
        <w:rPr>
          <w:sz w:val="20"/>
          <w:szCs w:val="20"/>
        </w:rPr>
        <w:t xml:space="preserve">6. Obtain written tail/run-off terms, including period, premium, reporting requirements, aggregate treatment, successor eligibility, and treatment of known or previously reported claims.</w:t>
      </w:r>
    </w:p>
    <w:p>
      <w:pPr>
        <w:ind w:left="360" w:hanging="180"/>
      </w:pPr>
      <w:r>
        <w:rPr>
          <w:sz w:val="20"/>
          <w:szCs w:val="20"/>
        </w:rPr>
        <w:t xml:space="preserve">7. Make closing conditional on insurer consent, confirmation of the coverage transition, replacement coverage, confirmation that no cancellation or non-renewal notice has been issued, confirmation of remaining limits and deductible/SIR, and agreement regarding unpaid or additional premium.</w:t>
      </w:r>
    </w:p>
    <w:p>
      <w:pPr>
        <w:ind w:left="360" w:hanging="180"/>
      </w:pPr>
      <w:r>
        <w:rPr>
          <w:sz w:val="20"/>
          <w:szCs w:val="20"/>
        </w:rPr>
        <w:t xml:space="preserve">8. Include transaction representations, covenants, and indemnities addressing policy validity, prior changes of control or assignments, claims and circumstances, premium status, audits, ERP and quality records, post-closing cooperation, deductibles and retentions, tail premiums, and uninsured losses.</w:t>
      </w:r>
    </w:p>
    <w:p>
      <w:pPr>
        <w:ind w:left="360" w:hanging="180"/>
      </w:pPr>
      <w:r>
        <w:rPr>
          <w:sz w:val="20"/>
          <w:szCs w:val="20"/>
        </w:rPr>
        <w:t xml:space="preserve">9. If closing occurs without a waiver or modification, deliver the Section IV.F.2 notice within **15 days** after closing and make any Endorsement No. 1 tail election within **30 days**.</w:t>
      </w:r>
    </w:p>
    <w:p>
      <w:pPr>
        <w:ind w:left="360" w:hanging="180"/>
      </w:pPr>
      <w:r>
        <w:rPr>
          <w:sz w:val="20"/>
          <w:szCs w:val="20"/>
        </w:rPr>
        <w:t xml:space="preserve">10. Preserve all product, quality, manufacturing, testing, and traceability records and monitor the **60-day** deadline for any requested run-off extension.</w:t>
      </w:r>
    </w:p>
    <w:p>
      <w:pPr>
        <w:pStyle w:val="Heading1"/>
      </w:pPr>
      <w:r>
        <w:rPr>
          <w:b/>
          <w:sz w:val="28"/>
          <w:szCs w:val="28"/>
        </w:rPr>
        <w:t xml:space="preserve">Consolidated Closing Checklist</w:t>
      </w:r>
    </w:p>
    <w:p>
      <w:pPr>
        <w:ind w:left="360" w:hanging="180"/>
      </w:pPr>
      <w:r>
        <w:rPr>
          <w:sz w:val="20"/>
          <w:szCs w:val="20"/>
        </w:rPr>
        <w:t xml:space="preserve">Confirm the transaction chart, acquisition vehicle, direct and indirect owners, post-closing voting percentages, merger survivor, asset transfers, and management changes.</w:t>
      </w:r>
    </w:p>
    <w:p>
      <w:pPr>
        <w:ind w:left="360" w:hanging="180"/>
      </w:pPr>
      <w:r>
        <w:rPr>
          <w:sz w:val="20"/>
          <w:szCs w:val="20"/>
        </w:rPr>
        <w:t xml:space="preserve">Obtain written consents, waivers, amendments, or confirmations from Summit lenders, Hendricks, Crescent Ridge Realty, PacWest, Kenji, and Great Lakes Indemnity as applicable.</w:t>
      </w:r>
    </w:p>
    <w:p>
      <w:pPr>
        <w:ind w:left="360" w:hanging="180"/>
      </w:pPr>
      <w:r>
        <w:rPr>
          <w:sz w:val="20"/>
          <w:szCs w:val="20"/>
        </w:rPr>
        <w:t xml:space="preserve">Quantify financing consequences, including outstanding debt, mandatory prepayment, acceleration, collateral releases, lender fees, payoff, and refinancing requirements.</w:t>
      </w:r>
    </w:p>
    <w:p>
      <w:pPr>
        <w:ind w:left="360" w:hanging="180"/>
      </w:pPr>
      <w:r>
        <w:rPr>
          <w:sz w:val="20"/>
          <w:szCs w:val="20"/>
        </w:rPr>
        <w:t xml:space="preserve">Confirm continuity or replacement of the Hendricks technology license and continued access to ERP, product, quality, and traceability systems.</w:t>
      </w:r>
    </w:p>
    <w:p>
      <w:pPr>
        <w:ind w:left="360" w:hanging="180"/>
      </w:pPr>
      <w:r>
        <w:rPr>
          <w:sz w:val="20"/>
          <w:szCs w:val="20"/>
        </w:rPr>
        <w:t xml:space="preserve">Model executive change-of-control compensation, severance, equity awards, tax gross-ups, and retention obligations under the Hesse agreement.</w:t>
      </w:r>
    </w:p>
    <w:p>
      <w:pPr>
        <w:ind w:left="360" w:hanging="180"/>
      </w:pPr>
      <w:r>
        <w:rPr>
          <w:sz w:val="20"/>
          <w:szCs w:val="20"/>
        </w:rPr>
        <w:t xml:space="preserve">Obtain landlord consent or a deemed-assignment waiver and confirm lease continuity, renewal rights, security deposit, and premises rights.</w:t>
      </w:r>
    </w:p>
    <w:p>
      <w:pPr>
        <w:ind w:left="360" w:hanging="180"/>
      </w:pPr>
      <w:r>
        <w:rPr>
          <w:sz w:val="20"/>
          <w:szCs w:val="20"/>
        </w:rPr>
        <w:t xml:space="preserve">Confirm PacWest contract status, renewal date, non-renewal notices, procurement approvals, vendor qualification, assignment restrictions, and governmental consents.</w:t>
      </w:r>
    </w:p>
    <w:p>
      <w:pPr>
        <w:ind w:left="360" w:hanging="180"/>
      </w:pPr>
      <w:r>
        <w:rPr>
          <w:sz w:val="20"/>
          <w:szCs w:val="20"/>
        </w:rPr>
        <w:t xml:space="preserve">Obtain insurer-approved transition terms or replacement product-liability coverage before closing. Calendar the applicable 15-day notice and 30-day tail-election deadlines.</w:t>
      </w:r>
    </w:p>
    <w:p>
      <w:pPr>
        <w:ind w:left="360" w:hanging="180"/>
      </w:pPr>
      <w:r>
        <w:rPr>
          <w:sz w:val="20"/>
          <w:szCs w:val="20"/>
        </w:rPr>
        <w:t xml:space="preserve">Include closing conditions, representations, covenants, indemnities, and cooperation obligations addressing all identified consents, defaults, renewals, notices, insurance transitions, and legacy liabilities.</w:t>
      </w:r>
    </w:p>
    <w:p>
      <w:pPr>
        <w:pStyle w:val="Heading1"/>
      </w:pPr>
      <w:r>
        <w:rPr>
          <w:b/>
          <w:sz w:val="28"/>
          <w:szCs w:val="28"/>
        </w:rPr>
        <w:t xml:space="preserve">Conclusion</w:t>
      </w:r>
    </w:p>
    <w:p>
      <w:pPr>
        <w:spacing w:after="120" w:line="276" w:lineRule="auto"/>
      </w:pPr>
      <w:r>
        <w:rPr>
          <w:sz w:val="20"/>
          <w:szCs w:val="20"/>
        </w:rPr>
        <w:t xml:space="preserve">The contract portfolio presents material change-of-control execution risk. The buyer should not assume that a stock deal is less disruptive than an asset deal or that a successor automatically receives the target's rights. Advance written consents, lender and insurer transition arrangements, replacement coverage, and clear allocation of costs and legacy liabilities should be required.</w:t>
      </w:r>
    </w:p>
    <w:sectPr>
      <w:pgSz w:w="12240" w:h="15840"/>
      <w:pgMar w:top="1000" w:right="1000" w:bottom="1000" w:left="1000"/>
    </w:sectPr>
  </w:body>
</w:document>
</file>

<file path=word/styles.xml><?xml version="1.0" encoding="utf-8"?>
<w:styles xmlns:w="http://schemas.openxmlformats.org/wordprocessingml/2006/main">
  <w:docDefaults>
    <w:rPrDefault>
      <w:rPr>
        <w:rFonts w:ascii="Aptos" w:hAnsi="Aptos"/>
        <w:sz w:val="20"/>
      </w:rPr>
    </w:rPrDefault>
  </w:docDefaults>
  <w:style w:type="paragraph" w:default="1" w:styleId="Normal">
    <w:name w:val="Normal"/>
  </w:style>
  <w:style w:type="paragraph" w:styleId="Title">
    <w:name w:val="Title"/>
  </w:style>
  <w:style w:type="paragraph" w:styleId="Subtitle">
    <w:name w:val="Subtitle"/>
  </w:style>
  <w:style w:type="paragraph" w:styleId="Heading1">
    <w:name w:val="Heading 1"/>
    <w:keepNext/>
  </w:style>
  <w:style w:type="paragraph" w:styleId="Heading2">
    <w:name w:val="Heading 2"/>
    <w:keepNext/>
  </w:style>
  <w:style w:type="paragraph" w:styleId="Heading3">
    <w:name w:val="Heading 3"/>
    <w:keepN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