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sz w:val="22"/>
        </w:rPr>
        <w:t xml:space="preserve">Change-of-Control Extraction Report</w:t>
      </w:r>
    </w:p>
    <w:p>
      <w:pPr/>
      <w:r>
        <w:rPr>
          <w:sz w:val="22"/>
        </w:rPr>
        <w:t xml:space="preserve">Acquisition target contract review</w:t>
      </w:r>
    </w:p>
    <w:p>
      <w:pPr/>
      <w:r>
        <w:rPr>
          <w:sz w:val="22"/>
        </w:rPr>
        <w:t xml:space="preserve">Prepared from the eight contract text files in the transaction diligence workspace.</w:t>
      </w:r>
    </w:p>
    <w:p>
      <w:pPr/>
      <w:r>
        <w:rPr>
          <w:sz w:val="22"/>
        </w:rPr>
        <w:t xml:space="preserve">Report date: 2026-09-07</w:t>
      </w:r>
    </w:p>
    <w:p>
      <w:pPr>
        <w:pStyle w:val="Heading2"/>
      </w:pPr>
      <w:r>
        <w:rPr>
          <w:sz w:val="22"/>
        </w:rPr>
        <w:t xml:space="preserve">Important Use Note</w:t>
      </w:r>
    </w:p>
    <w:p>
      <w:pPr/>
      <w:r>
        <w:rPr>
          <w:sz w:val="22"/>
        </w:rPr>
        <w:t xml:space="preserve">This report is a contract-extraction and diligence aid, not a legal opinion. It identifies express contractual language and related assignment, successor, consent, termination, buy-out, and insurance provisions. Conclusions about transaction impact should be confirmed against executed originals, amendments, side letters, notices, waivers, and applicable law.</w:t>
      </w:r>
    </w:p>
    <w:p>
      <w:pPr>
        <w:pStyle w:val="Heading1"/>
      </w:pPr>
      <w:r>
        <w:rPr>
          <w:sz w:val="22"/>
        </w:rPr>
        <w:t xml:space="preserve">Executive Summary</w:t>
      </w:r>
    </w:p>
    <w:p>
      <w:pPr/>
      <w:r>
        <w:rPr>
          <w:sz w:val="22"/>
        </w:rPr>
        <w:t xml:space="preserve">The reviewed portfolio contains multiple material change-of-control exposures. The most significant are: (i) lender-driven acceleration and/or default consequences; (ii) counterparty termination or consent rights; (iii) a joint-venture buy-out mechanism; (iv) personal, non-transferable license rights; and (v) automatic product-liability insurance run-off with no automatic successor coverage. Several provisions are triggered by indirect ownership changes, mergers, consolidations, or changes in management/control rather than only by a straightforward stock purchase.</w:t>
      </w:r>
    </w:p>
    <w:p>
      <w:pPr/>
      <w:r>
        <w:rPr>
          <w:sz w:val="22"/>
        </w:rPr>
        <w:t xml:space="preserve">Transaction planning should therefore treat change-of-control diligence as both a closing-condition issue and a post-closing operational issue. Required notices, consents, waivers, replacement insurance, debt refinancing, and continuity arrangements should be identified before signing and calendared through closing.</w:t>
      </w:r>
    </w:p>
    <w:p>
      <w:pPr>
        <w:pStyle w:val="Heading2"/>
      </w:pPr>
      <w:r>
        <w:rPr>
          <w:sz w:val="22"/>
        </w:rPr>
        <w:t xml:space="preserve">Portfolio Risk Matrix</w:t>
      </w:r>
    </w:p>
    <w:tbl>
      <w:tblPr>
        <w:tblStyle w:val="TableGrid"/>
        <w:tblW w:w="0" w:type="auto"/>
      </w:tblPr>
      <w:tr>
        <w:tc>
          <w:tcPr>
            <w:shd w:fill="D9EAF7"/>
          </w:tcPr>
          <w:p>
            <w:r>
              <w:rPr>
                <w:b/>
                <w:sz w:val="19"/>
              </w:rPr>
              <w:t xml:space="preserve">Contract</w:t>
            </w:r>
          </w:p>
        </w:tc>
        <w:tc>
          <w:tcPr>
            <w:shd w:fill="D9EAF7"/>
          </w:tcPr>
          <w:p>
            <w:r>
              <w:rPr>
                <w:b/>
                <w:sz w:val="19"/>
              </w:rPr>
              <w:t xml:space="preserve">Primary control event</w:t>
            </w:r>
          </w:p>
        </w:tc>
        <w:tc>
          <w:tcPr>
            <w:shd w:fill="D9EAF7"/>
          </w:tcPr>
          <w:p>
            <w:r>
              <w:rPr>
                <w:b/>
                <w:sz w:val="19"/>
              </w:rPr>
              <w:t xml:space="preserve">Principal consequence</w:t>
            </w:r>
          </w:p>
        </w:tc>
        <w:tc>
          <w:tcPr>
            <w:shd w:fill="D9EAF7"/>
          </w:tcPr>
          <w:p>
            <w:r>
              <w:rPr>
                <w:b/>
                <w:sz w:val="19"/>
              </w:rPr>
              <w:t xml:space="preserve">Overall risk</w:t>
            </w:r>
          </w:p>
        </w:tc>
      </w:tr>
      <w:tr>
        <w:tc>
          <w:tcPr/>
          <w:p>
            <w:r>
              <w:rPr>
                <w:sz w:val="19"/>
              </w:rPr>
              <w:t xml:space="preserve">Apex Kenji Jv Agreement</w:t>
            </w:r>
          </w:p>
        </w:tc>
        <w:tc>
          <w:tcPr/>
          <w:p>
            <w:r>
              <w:rPr>
                <w:sz w:val="19"/>
              </w:rPr>
              <w:t xml:space="preserve">50% voting-equity acquisition or management-control change of a Member</w:t>
            </w:r>
          </w:p>
        </w:tc>
        <w:tc>
          <w:tcPr/>
          <w:p>
            <w:r>
              <w:rPr>
                <w:sz w:val="19"/>
              </w:rPr>
              <w:t xml:space="preserve">Non-affected Member buy-out option at contract formula; notice and successor obligations</w:t>
            </w:r>
          </w:p>
        </w:tc>
        <w:tc>
          <w:tcPr/>
          <w:p>
            <w:r>
              <w:rPr>
                <w:sz w:val="19"/>
              </w:rPr>
              <w:t xml:space="preserve">High</w:t>
            </w:r>
          </w:p>
        </w:tc>
      </w:tr>
      <w:tr>
        <w:tc>
          <w:tcPr/>
          <w:p>
            <w:r>
              <w:rPr>
                <w:sz w:val="19"/>
              </w:rPr>
              <w:t xml:space="preserve">Credit Agreement Summit</w:t>
            </w:r>
          </w:p>
        </w:tc>
        <w:tc>
          <w:tcPr/>
          <w:p>
            <w:r>
              <w:rPr>
                <w:sz w:val="19"/>
              </w:rPr>
              <w:t xml:space="preserve">50% ownership/control, merger, or related control events</w:t>
            </w:r>
          </w:p>
        </w:tc>
        <w:tc>
          <w:tcPr/>
          <w:p>
            <w:r>
              <w:rPr>
                <w:sz w:val="19"/>
              </w:rPr>
              <w:t xml:space="preserve">Potential default/acceleration; loss of revolving commitments; notice/waiver workstream</w:t>
            </w:r>
          </w:p>
        </w:tc>
        <w:tc>
          <w:tcPr/>
          <w:p>
            <w:r>
              <w:rPr>
                <w:sz w:val="19"/>
              </w:rPr>
              <w:t xml:space="preserve">High</w:t>
            </w:r>
          </w:p>
        </w:tc>
      </w:tr>
      <w:tr>
        <w:tc>
          <w:tcPr/>
          <w:p>
            <w:r>
              <w:rPr>
                <w:sz w:val="19"/>
              </w:rPr>
              <w:t xml:space="preserve">Hendricks License Agreement</w:t>
            </w:r>
          </w:p>
        </w:tc>
        <w:tc>
          <w:tcPr/>
          <w:p>
            <w:r>
              <w:rPr>
                <w:sz w:val="19"/>
              </w:rPr>
              <w:t xml:space="preserve">Control of Licensee, including indirect control</w:t>
            </w:r>
          </w:p>
        </w:tc>
        <w:tc>
          <w:tcPr/>
          <w:p>
            <w:r>
              <w:rPr>
                <w:sz w:val="19"/>
              </w:rPr>
              <w:t xml:space="preserve">Licensor termination/non-transferability exposure; possible loss of key license</w:t>
            </w:r>
          </w:p>
        </w:tc>
        <w:tc>
          <w:tcPr/>
          <w:p>
            <w:r>
              <w:rPr>
                <w:sz w:val="19"/>
              </w:rPr>
              <w:t xml:space="preserve">High</w:t>
            </w:r>
          </w:p>
        </w:tc>
      </w:tr>
      <w:tr>
        <w:tc>
          <w:tcPr/>
          <w:p>
            <w:r>
              <w:rPr>
                <w:sz w:val="19"/>
              </w:rPr>
              <w:t xml:space="preserve">Hesse Employment Agreement</w:t>
            </w:r>
          </w:p>
        </w:tc>
        <w:tc>
          <w:tcPr/>
          <w:p>
            <w:r>
              <w:rPr>
                <w:sz w:val="19"/>
              </w:rPr>
              <w:t xml:space="preserve">Control change affecting employer or executive arrangements</w:t>
            </w:r>
          </w:p>
        </w:tc>
        <w:tc>
          <w:tcPr/>
          <w:p>
            <w:r>
              <w:rPr>
                <w:sz w:val="19"/>
              </w:rPr>
              <w:t xml:space="preserve">Termination/severance or consent and continuity issues</w:t>
            </w:r>
          </w:p>
        </w:tc>
        <w:tc>
          <w:tcPr/>
          <w:p>
            <w:r>
              <w:rPr>
                <w:sz w:val="19"/>
              </w:rPr>
              <w:t xml:space="preserve">High</w:t>
            </w:r>
          </w:p>
        </w:tc>
      </w:tr>
      <w:tr>
        <w:tc>
          <w:tcPr/>
          <w:p>
            <w:r>
              <w:rPr>
                <w:sz w:val="19"/>
              </w:rPr>
              <w:t xml:space="preserve">Hq Lease Crescent Ridge</w:t>
            </w:r>
          </w:p>
        </w:tc>
        <w:tc>
          <w:tcPr/>
          <w:p>
            <w:r>
              <w:rPr>
                <w:sz w:val="19"/>
              </w:rPr>
              <w:t xml:space="preserve">Control/assignment or transfer affecting tenant</w:t>
            </w:r>
          </w:p>
        </w:tc>
        <w:tc>
          <w:tcPr/>
          <w:p>
            <w:r>
              <w:rPr>
                <w:sz w:val="19"/>
              </w:rPr>
              <w:t xml:space="preserve">Landlord consent/termination or lease-compliance exposure</w:t>
            </w:r>
          </w:p>
        </w:tc>
        <w:tc>
          <w:tcPr/>
          <w:p>
            <w:r>
              <w:rPr>
                <w:sz w:val="19"/>
              </w:rPr>
              <w:t xml:space="preserve">High</w:t>
            </w:r>
          </w:p>
        </w:tc>
      </w:tr>
      <w:tr>
        <w:tc>
          <w:tcPr/>
          <w:p>
            <w:r>
              <w:rPr>
                <w:sz w:val="19"/>
              </w:rPr>
              <w:t xml:space="preserve">Northland Refining Msa</w:t>
            </w:r>
          </w:p>
        </w:tc>
        <w:tc>
          <w:tcPr/>
          <w:p>
            <w:r>
              <w:rPr>
                <w:sz w:val="19"/>
              </w:rPr>
              <w:t xml:space="preserve">Control change or assignment affecting supplier</w:t>
            </w:r>
          </w:p>
        </w:tc>
        <w:tc>
          <w:tcPr/>
          <w:p>
            <w:r>
              <w:rPr>
                <w:sz w:val="19"/>
              </w:rPr>
              <w:t xml:space="preserve">Customer consent/termination and operational continuity risk</w:t>
            </w:r>
          </w:p>
        </w:tc>
        <w:tc>
          <w:tcPr/>
          <w:p>
            <w:r>
              <w:rPr>
                <w:sz w:val="19"/>
              </w:rPr>
              <w:t xml:space="preserve">Medium</w:t>
            </w:r>
          </w:p>
        </w:tc>
      </w:tr>
      <w:tr>
        <w:tc>
          <w:tcPr/>
          <w:p>
            <w:r>
              <w:rPr>
                <w:sz w:val="19"/>
              </w:rPr>
              <w:t xml:space="preserve">Pacwest Supply Agreement</w:t>
            </w:r>
          </w:p>
        </w:tc>
        <w:tc>
          <w:tcPr/>
          <w:p>
            <w:r>
              <w:rPr>
                <w:sz w:val="19"/>
              </w:rPr>
              <w:t xml:space="preserve">Defined change of control of Supplier</w:t>
            </w:r>
          </w:p>
        </w:tc>
        <w:tc>
          <w:tcPr/>
          <w:p>
            <w:r>
              <w:rPr>
                <w:sz w:val="19"/>
              </w:rPr>
              <w:t xml:space="preserve">PacWest consent/termination right; potential loss of important customer relationship</w:t>
            </w:r>
          </w:p>
        </w:tc>
        <w:tc>
          <w:tcPr/>
          <w:p>
            <w:r>
              <w:rPr>
                <w:sz w:val="19"/>
              </w:rPr>
              <w:t xml:space="preserve">High</w:t>
            </w:r>
          </w:p>
        </w:tc>
      </w:tr>
      <w:tr>
        <w:tc>
          <w:tcPr/>
          <w:p>
            <w:r>
              <w:rPr>
                <w:sz w:val="19"/>
              </w:rPr>
              <w:t xml:space="preserve">Product Liability Policy</w:t>
            </w:r>
          </w:p>
        </w:tc>
        <w:tc>
          <w:tcPr/>
          <w:p>
            <w:r>
              <w:rPr>
                <w:sz w:val="19"/>
              </w:rPr>
              <w:t xml:space="preserve">50% voting ownership, merger, substantially all assets, or ultimate control change</w:t>
            </w:r>
          </w:p>
        </w:tc>
        <w:tc>
          <w:tcPr/>
          <w:p>
            <w:r>
              <w:rPr>
                <w:sz w:val="19"/>
              </w:rPr>
              <w:t xml:space="preserve">Automatic run-off; no return premium; successor needs new policy</w:t>
            </w:r>
          </w:p>
        </w:tc>
        <w:tc>
          <w:tcPr/>
          <w:p>
            <w:r>
              <w:rPr>
                <w:sz w:val="19"/>
              </w:rPr>
              <w:t xml:space="preserve">High</w:t>
            </w:r>
          </w:p>
        </w:tc>
      </w:tr>
    </w:tbl>
    <w:p>
      <w:pPr>
        <w:pStyle w:val="Heading1"/>
      </w:pPr>
      <w:r>
        <w:rPr>
          <w:sz w:val="22"/>
        </w:rPr>
        <w:t xml:space="preserve">Cross-Document Diligence Priorities</w:t>
      </w:r>
    </w:p>
    <w:p>
      <w:pPr>
        <w:pStyle w:val="ListBullet"/>
      </w:pPr>
      <w:r>
        <w:rPr>
          <w:sz w:val="22"/>
        </w:rPr>
        <w:t xml:space="preserve">Map the proposed transaction structure against each definition, including indirect ownership, groups acting in concert, mergers, consolidations, asset transfers, recapitalizations, and management-control changes.</w:t>
      </w:r>
    </w:p>
    <w:p>
      <w:pPr>
        <w:pStyle w:val="ListBullet"/>
      </w:pPr>
      <w:r>
        <w:rPr>
          <w:sz w:val="22"/>
        </w:rPr>
        <w:t xml:space="preserve">Obtain lender and counterparty consents or waivers before signing where possible; do not assume that an internal reorganization or affiliate transfer is exempt unless the contract expressly says so.</w:t>
      </w:r>
    </w:p>
    <w:p>
      <w:pPr>
        <w:pStyle w:val="ListBullet"/>
      </w:pPr>
      <w:r>
        <w:rPr>
          <w:sz w:val="22"/>
        </w:rPr>
        <w:t xml:space="preserve">Prepare a closing calendar for all notice periods, including pre-closing notices, post-closing notices, required content, delivery method, and evidence of receipt.</w:t>
      </w:r>
    </w:p>
    <w:p>
      <w:pPr>
        <w:pStyle w:val="ListBullet"/>
      </w:pPr>
      <w:r>
        <w:rPr>
          <w:sz w:val="22"/>
        </w:rPr>
        <w:t xml:space="preserve">Confirm whether any provision permits termination, acceleration, buy-out, loss of exclusivity, loss of customer revenue, or loss of insurance coverage.</w:t>
      </w:r>
    </w:p>
    <w:p>
      <w:pPr>
        <w:pStyle w:val="ListBullet"/>
      </w:pPr>
      <w:r>
        <w:rPr>
          <w:sz w:val="22"/>
        </w:rPr>
        <w:t xml:space="preserve">Review all amendments, waivers, side letters, purchase orders, certificates, schedules, endorsements, and prior change-of-control notices.</w:t>
      </w:r>
    </w:p>
    <w:p>
      <w:pPr>
        <w:pStyle w:val="ListBullet"/>
      </w:pPr>
      <w:r>
        <w:rPr>
          <w:sz w:val="22"/>
        </w:rPr>
        <w:t xml:space="preserve">Build operational continuity plans for replacement insurance, refinancing, licenses, leases, key suppliers, and customer relationships.</w:t>
      </w:r>
    </w:p>
    <w:p>
      <w:pPr>
        <w:pStyle w:val="ListBullet"/>
      </w:pPr>
      <w:r>
        <w:rPr>
          <w:sz w:val="22"/>
        </w:rPr>
        <w:t xml:space="preserve">Use transaction representations, covenants, closing conditions, indemnities, and purchase-price protections for unresolved consent or continuity risks.</w:t>
      </w:r>
    </w:p>
    <w:p>
      <w:pPr>
        <w:pStyle w:val="Heading1"/>
      </w:pPr>
      <w:r>
        <w:rPr>
          <w:sz w:val="22"/>
        </w:rPr>
        <w:t xml:space="preserve">1. Apex Kenji Jv Agreement</w:t>
      </w:r>
    </w:p>
    <w:p>
      <w:pPr/>
      <w:r>
        <w:rPr>
          <w:sz w:val="22"/>
        </w:rPr>
        <w:t xml:space="preserve">Source file: apex-kenji-jv-agreement.docx.txt</w:t>
      </w:r>
    </w:p>
    <w:p>
      <w:pPr/>
      <w:r>
        <w:rPr>
          <w:sz w:val="22"/>
        </w:rPr>
        <w:t xml:space="preserve">Risk rating: High</w:t>
      </w:r>
    </w:p>
    <w:p>
      <w:pPr>
        <w:pStyle w:val="Heading2"/>
      </w:pPr>
      <w:r>
        <w:rPr>
          <w:sz w:val="22"/>
        </w:rPr>
        <w:t xml:space="preserve">Executive Summary</w:t>
      </w:r>
    </w:p>
    <w:p>
      <w:pPr/>
      <w:r>
        <w:rPr>
          <w:sz w:val="22"/>
        </w:rPr>
        <w:t xml:space="preserve">The Agreement contains a broad Member-level Change of Control definition. A change in control of either Apex or Kenji:</w:t>
      </w:r>
    </w:p>
    <w:p>
      <w:pPr/>
      <w:r>
        <w:rPr>
          <w:sz w:val="22"/>
        </w:rPr>
        <w:t xml:space="preserve">1. Does not require the other Member’s consent and is expressly excluded from the Article XI transfer-consent requirement. Section 12.2. 2. Triggers a unilateral buy-out option in favor of the non-affected Member for all of the affected Member’s JV Membership Interest. Section 12.3(a). 3. Requires prompt pre- and post-closing notices and post-closing successor compliance. Sections 12.1 and 12.4. 4. May result in a mandatory cash purchase at a price equal to 4.5 times the Company’s applicable trailing-twelve-month EBITDA, regardless of the affected Member’s percentage ownership. Section 12.3(c). 5. Is subject to a narrow carve-out if the successor both retains specified senior management for at least 18 months and has more than $500 million in annual fluid-control-product revenue. Section 12.3(b).</w:t>
      </w:r>
    </w:p>
    <w:p>
      <w:pPr/>
      <w:r>
        <w:rPr>
          <w:sz w:val="22"/>
        </w:rPr>
        <w:t xml:space="preserve">Accordingly, the provision is generally not a direct consent-based closing impediment to an acquisition of Apex or Kenji, but it creates a substantial post-closing economic and compliance risk, including the possibility that the JV interest must be sold to the non-affected Member.</w:t>
      </w:r>
    </w:p>
    <w:p>
      <w:pPr/>
      <w:r>
        <w:rPr>
          <w:sz w:val="22"/>
        </w:rPr>
        <w:t xml:space="preserve">---</w:t>
      </w:r>
    </w:p>
    <w:p>
      <w:pPr>
        <w:pStyle w:val="Heading2"/>
      </w:pPr>
      <w:r>
        <w:rPr>
          <w:sz w:val="22"/>
        </w:rPr>
        <w:t xml:space="preserve">1. Express Change-of-Control Definitions and Thresholds</w:t>
      </w:r>
    </w:p>
    <w:p>
      <w:pPr/>
      <w:r>
        <w:rPr>
          <w:sz w:val="22"/>
        </w:rPr>
        <w:t xml:space="preserve">### A. Member-level Change of Control</w:t>
      </w:r>
    </w:p>
    <w:p>
      <w:pPr/>
      <w:r>
        <w:rPr>
          <w:sz w:val="22"/>
        </w:rPr>
        <w:t xml:space="preserve">Article I — Definitions provides:</w:t>
      </w:r>
    </w:p>
    <w:p>
      <w:pPr/>
      <w:r>
        <w:rPr>
          <w:sz w:val="22"/>
        </w:rPr>
        <w:t xml:space="preserve">“Change of Control” means, with respect to any Member, the acquisition, directly or indirectly, by any Person or group of Persons acting in concert (other than such Member’s existing Affiliates as of the Effective Date), of fifty percent (50%) or more of the issued and outstanding voting equity interests of such Member, whether by purchase, merger, consolidation, recapitalization, reorganization, or otherwise, or any transaction or series of related transactions that results in a change in the power to direct or cause the direction of the management and policies of such Member.</w:t>
      </w:r>
    </w:p>
    <w:p>
      <w:pPr/>
      <w:r>
        <w:rPr>
          <w:sz w:val="22"/>
        </w:rPr>
        <w:t xml:space="preserve">The express thresholds and triggers are:</w:t>
      </w:r>
    </w:p>
    <w:p>
      <w:pPr>
        <w:pStyle w:val="ListBullet"/>
      </w:pPr>
      <w:r>
        <w:rPr>
          <w:sz w:val="22"/>
        </w:rPr>
        <w:t xml:space="preserve">Acquisition of 50% or more of a Member’s issued and outstanding voting equity interests.</w:t>
      </w:r>
    </w:p>
    <w:p>
      <w:pPr>
        <w:pStyle w:val="ListBullet"/>
      </w:pPr>
      <w:r>
        <w:rPr>
          <w:sz w:val="22"/>
        </w:rPr>
        <w:t xml:space="preserve">Acquisition may be direct or indirect.</w:t>
      </w:r>
    </w:p>
    <w:p>
      <w:pPr>
        <w:pStyle w:val="ListBullet"/>
      </w:pPr>
      <w:r>
        <w:rPr>
          <w:sz w:val="22"/>
        </w:rPr>
        <w:t xml:space="preserve">Acquisition may be by one Person or a group acting in concert.</w:t>
      </w:r>
    </w:p>
    <w:p>
      <w:pPr>
        <w:pStyle w:val="ListBullet"/>
      </w:pPr>
      <w:r>
        <w:rPr>
          <w:sz w:val="22"/>
        </w:rPr>
        <w:t xml:space="preserve">The transaction may occur through:</w:t>
      </w:r>
    </w:p>
    <w:p>
      <w:pPr>
        <w:pStyle w:val="ListBullet"/>
      </w:pPr>
      <w:r>
        <w:rPr>
          <w:sz w:val="22"/>
        </w:rPr>
        <w:t xml:space="preserve">- Purchase;</w:t>
      </w:r>
    </w:p>
    <w:p>
      <w:pPr>
        <w:pStyle w:val="ListBullet"/>
      </w:pPr>
      <w:r>
        <w:rPr>
          <w:sz w:val="22"/>
        </w:rPr>
        <w:t xml:space="preserve">- Merger;</w:t>
      </w:r>
    </w:p>
    <w:p>
      <w:pPr>
        <w:pStyle w:val="ListBullet"/>
      </w:pPr>
      <w:r>
        <w:rPr>
          <w:sz w:val="22"/>
        </w:rPr>
        <w:t xml:space="preserve">- Consolidation;</w:t>
      </w:r>
    </w:p>
    <w:p>
      <w:pPr>
        <w:pStyle w:val="ListBullet"/>
      </w:pPr>
      <w:r>
        <w:rPr>
          <w:sz w:val="22"/>
        </w:rPr>
        <w:t xml:space="preserve">- Recapitalization;</w:t>
      </w:r>
    </w:p>
    <w:p>
      <w:pPr>
        <w:pStyle w:val="ListBullet"/>
      </w:pPr>
      <w:r>
        <w:rPr>
          <w:sz w:val="22"/>
        </w:rPr>
        <w:t xml:space="preserve">- Reorganization; or</w:t>
      </w:r>
    </w:p>
    <w:p>
      <w:pPr>
        <w:pStyle w:val="ListBullet"/>
      </w:pPr>
      <w:r>
        <w:rPr>
          <w:sz w:val="22"/>
        </w:rPr>
        <w:t xml:space="preserve">- Otherwise.</w:t>
      </w:r>
    </w:p>
    <w:p>
      <w:pPr>
        <w:pStyle w:val="ListBullet"/>
      </w:pPr>
      <w:r>
        <w:rPr>
          <w:sz w:val="22"/>
        </w:rPr>
        <w:t xml:space="preserve">Any transaction or series of related transactions that changes the power to direct or cause the direction of the Member’s management and policies.</w:t>
      </w:r>
    </w:p>
    <w:p>
      <w:pPr>
        <w:pStyle w:val="ListBullet"/>
      </w:pPr>
      <w:r>
        <w:rPr>
          <w:sz w:val="22"/>
        </w:rPr>
        <w:t xml:space="preserve">Acquisitions by the Member’s existing Affiliates as of April 3, 2017 are expressly excluded from the definition.</w:t>
      </w:r>
    </w:p>
    <w:p>
      <w:pPr/>
      <w:r>
        <w:rPr>
          <w:sz w:val="22"/>
        </w:rPr>
        <w:t xml:space="preserve">### B. Affiliate control definition</w:t>
      </w:r>
    </w:p>
    <w:p>
      <w:pPr/>
      <w:r>
        <w:rPr>
          <w:sz w:val="22"/>
        </w:rPr>
        <w:t xml:space="preserve">“Affiliate” means an entity directly or indirectly controlling, controlled by, or under common control with a Person, where “control” means:</w:t>
      </w:r>
    </w:p>
    <w:p>
      <w:pPr>
        <w:pStyle w:val="ListBullet"/>
      </w:pPr>
      <w:r>
        <w:rPr>
          <w:sz w:val="22"/>
        </w:rPr>
        <w:t xml:space="preserve">Ownership of 50% or more of the outstanding voting securities; or</w:t>
      </w:r>
    </w:p>
    <w:p>
      <w:pPr>
        <w:pStyle w:val="ListBullet"/>
      </w:pPr>
      <w:r>
        <w:rPr>
          <w:sz w:val="22"/>
        </w:rPr>
        <w:t xml:space="preserve">The equivalent power to direct or cause the direction of management and policies, whether through:</w:t>
      </w:r>
    </w:p>
    <w:p>
      <w:pPr>
        <w:pStyle w:val="ListBullet"/>
      </w:pPr>
      <w:r>
        <w:rPr>
          <w:sz w:val="22"/>
        </w:rPr>
        <w:t xml:space="preserve">- Ownership of voting securities;</w:t>
      </w:r>
    </w:p>
    <w:p>
      <w:pPr>
        <w:pStyle w:val="ListBullet"/>
      </w:pPr>
      <w:r>
        <w:rPr>
          <w:sz w:val="22"/>
        </w:rPr>
        <w:t xml:space="preserve">- Contract; or</w:t>
      </w:r>
    </w:p>
    <w:p>
      <w:pPr>
        <w:pStyle w:val="ListBullet"/>
      </w:pPr>
      <w:r>
        <w:rPr>
          <w:sz w:val="22"/>
        </w:rPr>
        <w:t xml:space="preserve">- Otherwise.</w:t>
      </w:r>
    </w:p>
    <w:p>
      <w:pPr/>
      <w:r>
        <w:rPr>
          <w:sz w:val="22"/>
        </w:rPr>
        <w:t xml:space="preserve">This Affiliate definition is relevant both to the Change of Control exclusion for existing Affiliates and to the permitted-transfer provisions in Section 11.2.</w:t>
      </w:r>
    </w:p>
    <w:p>
      <w:pPr/>
      <w:r>
        <w:rPr>
          <w:sz w:val="22"/>
        </w:rPr>
        <w:t xml:space="preserve">---</w:t>
      </w:r>
    </w:p>
    <w:p>
      <w:pPr>
        <w:pStyle w:val="Heading2"/>
      </w:pPr>
      <w:r>
        <w:rPr>
          <w:sz w:val="22"/>
        </w:rPr>
        <w:t xml:space="preserve">3. Notice Requirements</w:t>
      </w:r>
    </w:p>
    <w:p>
      <w:pPr/>
      <w:r>
        <w:rPr>
          <w:sz w:val="22"/>
        </w:rPr>
        <w:t xml:space="preserve">### A. Change-of-Control notice</w:t>
      </w:r>
    </w:p>
    <w:p>
      <w:pPr/>
      <w:r>
        <w:rPr>
          <w:sz w:val="22"/>
        </w:rPr>
        <w:t xml:space="preserve">Under Section 12.1:</w:t>
      </w:r>
    </w:p>
    <w:p>
      <w:pPr/>
      <w:r>
        <w:rPr>
          <w:sz w:val="22"/>
        </w:rPr>
        <w:t xml:space="preserve">Each Member shall provide the other Member with written notice of any Change of Control of such Member promptly, and in any event within ten (10) business days after execution of any definitive agreement with respect to such Change of Control, and again within five (5) business days following consummation of such Change of Control.</w:t>
      </w:r>
    </w:p>
    <w:p>
      <w:pPr/>
      <w:r>
        <w:rPr>
          <w:sz w:val="22"/>
        </w:rPr>
        <w:t xml:space="preserve">The notice must include:</w:t>
      </w:r>
    </w:p>
    <w:p>
      <w:pPr>
        <w:pStyle w:val="ListBullet"/>
      </w:pPr>
      <w:r>
        <w:rPr>
          <w:sz w:val="22"/>
        </w:rPr>
        <w:t xml:space="preserve">A reasonably detailed description of the Change of Control transaction;</w:t>
      </w:r>
    </w:p>
    <w:p>
      <w:pPr>
        <w:pStyle w:val="ListBullet"/>
      </w:pPr>
      <w:r>
        <w:rPr>
          <w:sz w:val="22"/>
        </w:rPr>
        <w:t xml:space="preserve">The identity of the acquiring Person or Persons; and</w:t>
      </w:r>
    </w:p>
    <w:p>
      <w:pPr>
        <w:pStyle w:val="ListBullet"/>
      </w:pPr>
      <w:r>
        <w:rPr>
          <w:sz w:val="22"/>
        </w:rPr>
        <w:t xml:space="preserve">The expected or actual date of consummation, as applicable.</w:t>
      </w:r>
    </w:p>
    <w:p>
      <w:pPr/>
      <w:r>
        <w:rPr>
          <w:sz w:val="22"/>
        </w:rPr>
        <w:t xml:space="preserve">There are therefore two required notices:</w:t>
      </w:r>
    </w:p>
    <w:p>
      <w:pPr/>
      <w:r>
        <w:rPr>
          <w:sz w:val="22"/>
        </w:rPr>
        <w:t xml:space="preserve">1. Signing notice: within 10 business days after execution of a definitive agreement. 2. Closing notice: within 5 business days after consummation.</w:t>
      </w:r>
    </w:p>
    <w:p>
      <w:pPr/>
      <w:r>
        <w:rPr>
          <w:sz w:val="22"/>
        </w:rPr>
        <w:t xml:space="preserve">### B. Recipient</w:t>
      </w:r>
    </w:p>
    <w:p>
      <w:pPr/>
      <w:r>
        <w:rPr>
          <w:sz w:val="22"/>
        </w:rPr>
        <w:t xml:space="preserve">The notice is delivered to the other Member:</w:t>
      </w:r>
    </w:p>
    <w:p>
      <w:pPr>
        <w:pStyle w:val="ListBullet"/>
      </w:pPr>
      <w:r>
        <w:rPr>
          <w:sz w:val="22"/>
        </w:rPr>
        <w:t xml:space="preserve">Apex notice recipient: Apex Industrial Technologies, Inc., 4200 Crescent Ridge Parkway, Suite 600, Cincinnati, Ohio 45202, Attention: General Counsel.</w:t>
      </w:r>
    </w:p>
    <w:p>
      <w:pPr>
        <w:pStyle w:val="ListBullet"/>
      </w:pPr>
      <w:r>
        <w:rPr>
          <w:sz w:val="22"/>
        </w:rPr>
        <w:t xml:space="preserve">Kenji notice recipient: Kenji Valve Co., Ltd., 3-14-7 Nihonbashi, Chuo-ku, Tokyo 103-0027, Japan, Attention: Legal Department.</w:t>
      </w:r>
    </w:p>
    <w:p>
      <w:pPr/>
      <w:r>
        <w:rPr>
          <w:sz w:val="22"/>
        </w:rPr>
        <w:t xml:space="preserve">### C. Delivery method</w:t>
      </w:r>
    </w:p>
    <w:p>
      <w:pPr/>
      <w:r>
        <w:rPr>
          <w:sz w:val="22"/>
        </w:rPr>
        <w:t xml:space="preserve">Under Section 17.1, required or permitted notices must be in writing and deemed given when:</w:t>
      </w:r>
    </w:p>
    <w:p>
      <w:pPr>
        <w:pStyle w:val="ListBullet"/>
      </w:pPr>
      <w:r>
        <w:rPr>
          <w:sz w:val="22"/>
        </w:rPr>
        <w:t xml:space="preserve">Delivered by hand;</w:t>
      </w:r>
    </w:p>
    <w:p>
      <w:pPr>
        <w:pStyle w:val="ListBullet"/>
      </w:pPr>
      <w:r>
        <w:rPr>
          <w:sz w:val="22"/>
        </w:rPr>
        <w:t xml:space="preserve">Delivered by nationally recognized overnight courier; or</w:t>
      </w:r>
    </w:p>
    <w:p>
      <w:pPr>
        <w:pStyle w:val="ListBullet"/>
      </w:pPr>
      <w:r>
        <w:rPr>
          <w:sz w:val="22"/>
        </w:rPr>
        <w:t xml:space="preserve">Sent by certified mail, return receipt requested, postage prepaid.</w:t>
      </w:r>
    </w:p>
    <w:p>
      <w:pPr/>
      <w:r>
        <w:rPr>
          <w:sz w:val="22"/>
        </w:rPr>
        <w:t xml:space="preserve">The Agreement does not expressly authorize email notice for Section 12.1 notices, notwithstanding Section 17.7’s provision concerning electronic delivery of executed counterparts.</w:t>
      </w:r>
    </w:p>
    <w:p>
      <w:pPr/>
      <w:r>
        <w:rPr>
          <w:sz w:val="22"/>
        </w:rPr>
        <w:t xml:space="preserve">### D. Other acquisition-related notices</w:t>
      </w:r>
    </w:p>
    <w:p>
      <w:pPr/>
      <w:r>
        <w:rPr>
          <w:sz w:val="22"/>
        </w:rPr>
        <w:t xml:space="preserve">For a transfer of Apex’s majority JV Membership Interest to a third party, Section 11.4 requires Apex to give Kenji at least 30 days’ prior written notice of the proposed transfer, including its material terms, to permit Kenji to exercise its tag-along right.</w:t>
      </w:r>
    </w:p>
    <w:p>
      <w:pPr/>
      <w:r>
        <w:rPr>
          <w:sz w:val="22"/>
        </w:rPr>
        <w:t xml:space="preserve">For a proposed transfer subject to the right of first refusal, Section 11.3 requires written notice specifying:</w:t>
      </w:r>
    </w:p>
    <w:p>
      <w:pPr>
        <w:pStyle w:val="ListBullet"/>
      </w:pPr>
      <w:r>
        <w:rPr>
          <w:sz w:val="22"/>
        </w:rPr>
        <w:t xml:space="preserve">Material terms and conditions;</w:t>
      </w:r>
    </w:p>
    <w:p>
      <w:pPr>
        <w:pStyle w:val="ListBullet"/>
      </w:pPr>
      <w:r>
        <w:rPr>
          <w:sz w:val="22"/>
        </w:rPr>
        <w:t xml:space="preserve">Identity of the proposed transferee; and</w:t>
      </w:r>
    </w:p>
    <w:p>
      <w:pPr>
        <w:pStyle w:val="ListBullet"/>
      </w:pPr>
      <w:r>
        <w:rPr>
          <w:sz w:val="22"/>
        </w:rPr>
        <w:t xml:space="preserve">Proposed purchase price.</w:t>
      </w:r>
    </w:p>
    <w:p>
      <w:pPr/>
      <w:r>
        <w:rPr>
          <w:sz w:val="22"/>
        </w:rPr>
        <w:t xml:space="preserve">---</w:t>
      </w:r>
    </w:p>
    <w:p>
      <w:pPr>
        <w:pStyle w:val="Heading2"/>
      </w:pPr>
      <w:r>
        <w:rPr>
          <w:sz w:val="22"/>
        </w:rPr>
        <w:t xml:space="preserve">4. Consent, Approval, Waiver, and Consultation Rights</w:t>
      </w:r>
    </w:p>
    <w:p>
      <w:pPr/>
      <w:r>
        <w:rPr>
          <w:sz w:val="22"/>
        </w:rPr>
        <w:t xml:space="preserve">### A. Consent to Member-level Change of Control</w:t>
      </w:r>
    </w:p>
    <w:p>
      <w:pPr/>
      <w:r>
        <w:rPr>
          <w:sz w:val="22"/>
        </w:rPr>
        <w:t xml:space="preserve">Under Section 12.2:</w:t>
      </w:r>
    </w:p>
    <w:p>
      <w:pPr/>
      <w:r>
        <w:rPr>
          <w:sz w:val="22"/>
        </w:rPr>
        <w:t xml:space="preserve">“A Change of Control of a Member shall not be deemed a Transfer of such Member’s Membership Interest for purposes of Article XI.”</w:t>
      </w:r>
    </w:p>
    <w:p>
      <w:pPr/>
      <w:r>
        <w:rPr>
          <w:sz w:val="22"/>
        </w:rPr>
        <w:t xml:space="preserve">The provision further states:</w:t>
      </w:r>
    </w:p>
    <w:p>
      <w:pPr/>
      <w:r>
        <w:rPr>
          <w:sz w:val="22"/>
        </w:rPr>
        <w:t xml:space="preserve">“Accordingly, a Change of Control shall not require the consent of the non-affected Member under Section 11.1.”</w:t>
      </w:r>
    </w:p>
    <w:p>
      <w:pPr/>
      <w:r>
        <w:rPr>
          <w:sz w:val="22"/>
        </w:rPr>
        <w:t xml:space="preserve">Therefore, the other Member has no consent right over the closing of a Change of Control of Apex or Kenji, solely by virtue of the Change of Control provision.</w:t>
      </w:r>
    </w:p>
    <w:p>
      <w:pPr/>
      <w:r>
        <w:rPr>
          <w:sz w:val="22"/>
        </w:rPr>
        <w:t xml:space="preserve">### B. Buy-out election</w:t>
      </w:r>
    </w:p>
    <w:p>
      <w:pPr/>
      <w:r>
        <w:rPr>
          <w:sz w:val="22"/>
        </w:rPr>
        <w:t xml:space="preserve">Although consent is not required, the non-affected Member has a unilateral right to purchase all of the affected Member’s JV interest. The non-affected Member may exercise that right by written notice within 90 days after receiving the notice of consummation of the Change of Control. Section 12.3(a).</w:t>
      </w:r>
    </w:p>
    <w:p>
      <w:pPr/>
      <w:r>
        <w:rPr>
          <w:sz w:val="22"/>
        </w:rPr>
        <w:t xml:space="preserve">The right belongs to the non-affected Member and is discretionary:</w:t>
      </w:r>
    </w:p>
    <w:p>
      <w:pPr/>
      <w:r>
        <w:rPr>
          <w:sz w:val="22"/>
        </w:rPr>
        <w:t xml:space="preserve">“shall have the right, but not the obligation” to purchase the affected Member’s entire Membership Interest.</w:t>
      </w:r>
    </w:p>
    <w:p>
      <w:pPr/>
      <w:r>
        <w:rPr>
          <w:sz w:val="22"/>
        </w:rPr>
        <w:t xml:space="preserve">### C. Consent to ordinary transfer of JV interest</w:t>
      </w:r>
    </w:p>
    <w:p>
      <w:pPr/>
      <w:r>
        <w:rPr>
          <w:sz w:val="22"/>
        </w:rPr>
        <w:t xml:space="preserve">Under Section 11.1, no Member may transfer all or any portion of its JV Membership Interest without the other Member’s prior written consent. That consent:</w:t>
      </w:r>
    </w:p>
    <w:p>
      <w:pPr/>
      <w:r>
        <w:rPr>
          <w:sz w:val="22"/>
        </w:rPr>
        <w:t xml:space="preserve">“may be withheld in such Member’s sole and absolute discretion.”</w:t>
      </w:r>
    </w:p>
    <w:p>
      <w:pPr/>
      <w:r>
        <w:rPr>
          <w:sz w:val="22"/>
        </w:rPr>
        <w:t xml:space="preserve">This consent requirement is subject to the permitted-transfer and right-of-first-refusal exceptions in Sections 11.2 and 11.3 and is displaced for a Member-level Change of Control by Section 12.2.</w:t>
      </w:r>
    </w:p>
    <w:p>
      <w:pPr/>
      <w:r>
        <w:rPr>
          <w:sz w:val="22"/>
        </w:rPr>
        <w:t xml:space="preserve">### D. Waiver rights</w:t>
      </w:r>
    </w:p>
    <w:p>
      <w:pPr/>
      <w:r>
        <w:rPr>
          <w:sz w:val="22"/>
        </w:rPr>
        <w:t xml:space="preserve">Under Section 17.5, no waiver is effective unless in writing and signed by the Member granting the waiver. There is no Change-of-Control-specific waiver mechanism or mandatory consultation right.</w:t>
      </w:r>
    </w:p>
    <w:p>
      <w:pPr/>
      <w:r>
        <w:rPr>
          <w:sz w:val="22"/>
        </w:rPr>
        <w:t xml:space="preserve">### E. Consultation or cooperation</w:t>
      </w:r>
    </w:p>
    <w:p>
      <w:pPr/>
      <w:r>
        <w:rPr>
          <w:sz w:val="22"/>
        </w:rPr>
        <w:t xml:space="preserve">Section 12.4(c) requires the affected Member to use commercially reasonable efforts to ensure that the successor cooperates with the Company and the non-affected Member in good faith concerning the JV’s business and affairs. This is a cooperation obligation, not a consent right.</w:t>
      </w:r>
    </w:p>
    <w:p>
      <w:pPr/>
      <w:r>
        <w:rPr>
          <w:sz w:val="22"/>
        </w:rPr>
        <w:t xml:space="preserve">---</w:t>
      </w:r>
    </w:p>
    <w:p>
      <w:pPr>
        <w:pStyle w:val="Heading2"/>
      </w:pPr>
      <w:r>
        <w:rPr>
          <w:sz w:val="22"/>
        </w:rPr>
        <w:t xml:space="preserve">6. Consequences of a Change of Control</w:t>
      </w:r>
    </w:p>
    <w:p>
      <w:pPr/>
      <w:r>
        <w:rPr>
          <w:sz w:val="22"/>
        </w:rPr>
        <w:t xml:space="preserve">### A. Buy-out option</w:t>
      </w:r>
    </w:p>
    <w:p>
      <w:pPr/>
      <w:r>
        <w:rPr>
          <w:sz w:val="22"/>
        </w:rPr>
        <w:t xml:space="preserve">A Change of Control of either Member gives the other Member the right to purchase:</w:t>
      </w:r>
    </w:p>
    <w:p>
      <w:pPr/>
      <w:r>
        <w:rPr>
          <w:sz w:val="22"/>
        </w:rPr>
        <w:t xml:space="preserve">“all (but not less than all)” of the affected Member’s Membership Interest in the Company.</w:t>
      </w:r>
    </w:p>
    <w:p>
      <w:pPr/>
      <w:r>
        <w:rPr>
          <w:sz w:val="22"/>
        </w:rPr>
        <w:t xml:space="preserve">The option must be exercised within 90 days after receipt of the post-closing notice.</w:t>
      </w:r>
    </w:p>
    <w:p>
      <w:pPr/>
      <w:r>
        <w:rPr>
          <w:sz w:val="22"/>
        </w:rPr>
        <w:t xml:space="preserve">### B. Buy-out price</w:t>
      </w:r>
    </w:p>
    <w:p>
      <w:pPr/>
      <w:r>
        <w:rPr>
          <w:sz w:val="22"/>
        </w:rPr>
        <w:t xml:space="preserve">Under Section 12.3(c), the price is:</w:t>
      </w:r>
    </w:p>
    <w:p>
      <w:pPr/>
      <w:r>
        <w:rPr>
          <w:sz w:val="22"/>
        </w:rPr>
        <w:t xml:space="preserve">“four and one-half times (4.5x) the Company’s trailing twelve-month EBITDA as of the last day of the Company’s most recently completed Fiscal Year preceding the date of the Non-Affected Member’s exercise notice.”</w:t>
      </w:r>
    </w:p>
    <w:p>
      <w:pPr/>
      <w:r>
        <w:rPr>
          <w:sz w:val="22"/>
        </w:rPr>
        <w:t xml:space="preserve">Important pricing features:</w:t>
      </w:r>
    </w:p>
    <w:p>
      <w:pPr>
        <w:pStyle w:val="ListBullet"/>
      </w:pPr>
      <w:r>
        <w:rPr>
          <w:sz w:val="22"/>
        </w:rPr>
        <w:t xml:space="preserve">The multiple is 4.5x.</w:t>
      </w:r>
    </w:p>
    <w:p>
      <w:pPr>
        <w:pStyle w:val="ListBullet"/>
      </w:pPr>
      <w:r>
        <w:rPr>
          <w:sz w:val="22"/>
        </w:rPr>
        <w:t xml:space="preserve">The EBITDA reference period is the Company’s trailing twelve-month EBITDA as of the last day of the most recently completed Fiscal Year preceding the exercise notice.</w:t>
      </w:r>
    </w:p>
    <w:p>
      <w:pPr>
        <w:pStyle w:val="ListBullet"/>
      </w:pPr>
      <w:r>
        <w:rPr>
          <w:sz w:val="22"/>
        </w:rPr>
        <w:t xml:space="preserve">The price is for the affected Member’s entire JV interest.</w:t>
      </w:r>
    </w:p>
    <w:p>
      <w:pPr>
        <w:pStyle w:val="ListBullet"/>
      </w:pPr>
      <w:r>
        <w:rPr>
          <w:sz w:val="22"/>
        </w:rPr>
        <w:t xml:space="preserve">The provision expressly states that the price applies regardless of the affected Member’s percentage Membership Interest.</w:t>
      </w:r>
    </w:p>
    <w:p>
      <w:pPr>
        <w:pStyle w:val="ListBullet"/>
      </w:pPr>
      <w:r>
        <w:rPr>
          <w:sz w:val="22"/>
        </w:rPr>
        <w:t xml:space="preserve">The price is payable in cash at closing.</w:t>
      </w:r>
    </w:p>
    <w:p>
      <w:pPr/>
      <w:r>
        <w:rPr>
          <w:sz w:val="22"/>
        </w:rPr>
        <w:t xml:space="preserve">Because the affected Member’s interest is 55% for Apex and 45% for Kenji, the price formula does not expressly scale the purchase price by those percentages. It instead applies the 4.5x EBITDA amount to the entire interest being purchased.</w:t>
      </w:r>
    </w:p>
    <w:p>
      <w:pPr/>
      <w:r>
        <w:rPr>
          <w:sz w:val="22"/>
        </w:rPr>
        <w:t xml:space="preserve">### C. Buy-out closing</w:t>
      </w:r>
    </w:p>
    <w:p>
      <w:pPr/>
      <w:r>
        <w:rPr>
          <w:sz w:val="22"/>
        </w:rPr>
        <w:t xml:space="preserve">Closing must occur within 60 days after the exercise notice.</w:t>
      </w:r>
    </w:p>
    <w:p>
      <w:pPr/>
      <w:r>
        <w:rPr>
          <w:sz w:val="22"/>
        </w:rPr>
        <w:t xml:space="preserve">At closing:</w:t>
      </w:r>
    </w:p>
    <w:p>
      <w:pPr>
        <w:pStyle w:val="ListBullet"/>
      </w:pPr>
      <w:r>
        <w:rPr>
          <w:sz w:val="22"/>
        </w:rPr>
        <w:t xml:space="preserve">The affected Member must deliver an executed assignment and other transfer documentation.</w:t>
      </w:r>
    </w:p>
    <w:p>
      <w:pPr>
        <w:pStyle w:val="ListBullet"/>
      </w:pPr>
      <w:r>
        <w:rPr>
          <w:sz w:val="22"/>
        </w:rPr>
        <w:t xml:space="preserve">The non-affected Member must pay the Buy-Out Price in immediately available funds.</w:t>
      </w:r>
    </w:p>
    <w:p>
      <w:pPr>
        <w:pStyle w:val="ListBullet"/>
      </w:pPr>
      <w:r>
        <w:rPr>
          <w:sz w:val="22"/>
        </w:rPr>
        <w:t xml:space="preserve">The affected Member must provide customary title representations and warranties.</w:t>
      </w:r>
    </w:p>
    <w:p>
      <w:pPr/>
      <w:r>
        <w:rPr>
          <w:sz w:val="22"/>
        </w:rPr>
        <w:t xml:space="preserve">### D. Price dispute mechanism</w:t>
      </w:r>
    </w:p>
    <w:p>
      <w:pPr/>
      <w:r>
        <w:rPr>
          <w:sz w:val="22"/>
        </w:rPr>
        <w:t xml:space="preserve">If the parties dispute EBITDA or the Buy-Out Price calculation:</w:t>
      </w:r>
    </w:p>
    <w:p>
      <w:pPr>
        <w:pStyle w:val="ListBullet"/>
      </w:pPr>
      <w:r>
        <w:rPr>
          <w:sz w:val="22"/>
        </w:rPr>
        <w:t xml:space="preserve">They must use an independent nationally recognized accounting firm;</w:t>
      </w:r>
    </w:p>
    <w:p>
      <w:pPr>
        <w:pStyle w:val="ListBullet"/>
      </w:pPr>
      <w:r>
        <w:rPr>
          <w:sz w:val="22"/>
        </w:rPr>
        <w:t xml:space="preserve">The firm must be mutually agreed, or selected by the American Arbitration Association if no agreement is reached within 15 days;</w:t>
      </w:r>
    </w:p>
    <w:p>
      <w:pPr>
        <w:pStyle w:val="ListBullet"/>
      </w:pPr>
      <w:r>
        <w:rPr>
          <w:sz w:val="22"/>
        </w:rPr>
        <w:t xml:space="preserve">The determination is final and binding;</w:t>
      </w:r>
    </w:p>
    <w:p>
      <w:pPr>
        <w:pStyle w:val="ListBullet"/>
      </w:pPr>
      <w:r>
        <w:rPr>
          <w:sz w:val="22"/>
        </w:rPr>
        <w:t xml:space="preserve">Costs are shared equally.</w:t>
      </w:r>
    </w:p>
    <w:p>
      <w:pPr/>
      <w:r>
        <w:rPr>
          <w:sz w:val="22"/>
        </w:rPr>
        <w:t xml:space="preserve">### E. Successor Entity carve-out</w:t>
      </w:r>
    </w:p>
    <w:p>
      <w:pPr/>
      <w:r>
        <w:rPr>
          <w:sz w:val="22"/>
        </w:rPr>
        <w:t xml:space="preserve">The buy-out option is unavailable only if both conditions in Section 12.3(b) are satisfied:</w:t>
      </w:r>
    </w:p>
    <w:p>
      <w:pPr/>
      <w:r>
        <w:rPr>
          <w:sz w:val="22"/>
        </w:rPr>
        <w:t xml:space="preserve">1. The Successor Entity commits in writing, within 30 days after consummation, to retain the affected Member’s existing senior management team—including at minimum the CEO and CTO—in their positions for at least 18 months after consummation; and 2. The Successor Entity’s consolidated annual revenue from fluid-control products, as reported in its most recent audited annual financial statements as of closing, exceeds $500 million.</w:t>
      </w:r>
    </w:p>
    <w:p>
      <w:pPr/>
      <w:r>
        <w:rPr>
          <w:sz w:val="22"/>
        </w:rPr>
        <w:t xml:space="preserve">If either condition is not satisfied, the buy-out option remains fully exercisable.</w:t>
      </w:r>
    </w:p>
    <w:p>
      <w:pPr/>
      <w:r>
        <w:rPr>
          <w:sz w:val="22"/>
        </w:rPr>
        <w:t xml:space="preserve">This is a narrow exception. The text does not provide for partial compliance, cure rights, or an extension of the relevant deadlines.</w:t>
      </w:r>
    </w:p>
    <w:p>
      <w:pPr/>
      <w:r>
        <w:rPr>
          <w:sz w:val="22"/>
        </w:rPr>
        <w:t xml:space="preserve">### F. No express termination or automatic dissolution</w:t>
      </w:r>
    </w:p>
    <w:p>
      <w:pPr/>
      <w:r>
        <w:rPr>
          <w:sz w:val="22"/>
        </w:rPr>
        <w:t xml:space="preserve">The Agreement does not state that a Member-level Change of Control:</w:t>
      </w:r>
    </w:p>
    <w:p>
      <w:pPr>
        <w:pStyle w:val="ListBullet"/>
      </w:pPr>
      <w:r>
        <w:rPr>
          <w:sz w:val="22"/>
        </w:rPr>
        <w:t xml:space="preserve">Terminates the Agreement;</w:t>
      </w:r>
    </w:p>
    <w:p>
      <w:pPr>
        <w:pStyle w:val="ListBullet"/>
      </w:pPr>
      <w:r>
        <w:rPr>
          <w:sz w:val="22"/>
        </w:rPr>
        <w:t xml:space="preserve">Terminates the JV;</w:t>
      </w:r>
    </w:p>
    <w:p>
      <w:pPr>
        <w:pStyle w:val="ListBullet"/>
      </w:pPr>
      <w:r>
        <w:rPr>
          <w:sz w:val="22"/>
        </w:rPr>
        <w:t xml:space="preserve">Causes dissolution;</w:t>
      </w:r>
    </w:p>
    <w:p>
      <w:pPr>
        <w:pStyle w:val="ListBullet"/>
      </w:pPr>
      <w:r>
        <w:rPr>
          <w:sz w:val="22"/>
        </w:rPr>
        <w:t xml:space="preserve">Accelerates debt;</w:t>
      </w:r>
    </w:p>
    <w:p>
      <w:pPr>
        <w:pStyle w:val="ListBullet"/>
      </w:pPr>
      <w:r>
        <w:rPr>
          <w:sz w:val="22"/>
        </w:rPr>
        <w:t xml:space="preserve">Triggers a put or call beyond the Section 12.3 buy-out option;</w:t>
      </w:r>
    </w:p>
    <w:p>
      <w:pPr>
        <w:pStyle w:val="ListBullet"/>
      </w:pPr>
      <w:r>
        <w:rPr>
          <w:sz w:val="22"/>
        </w:rPr>
        <w:t xml:space="preserve">Requires renegotiation;</w:t>
      </w:r>
    </w:p>
    <w:p>
      <w:pPr>
        <w:pStyle w:val="ListBullet"/>
      </w:pPr>
      <w:r>
        <w:rPr>
          <w:sz w:val="22"/>
        </w:rPr>
        <w:t xml:space="preserve">Changes the Member’s economic allocations; or</w:t>
      </w:r>
    </w:p>
    <w:p>
      <w:pPr>
        <w:pStyle w:val="ListBullet"/>
      </w:pPr>
      <w:r>
        <w:rPr>
          <w:sz w:val="22"/>
        </w:rPr>
        <w:t xml:space="preserve">Automatically results in damages.</w:t>
      </w:r>
    </w:p>
    <w:p>
      <w:pPr/>
      <w:r>
        <w:rPr>
          <w:sz w:val="22"/>
        </w:rPr>
        <w:t xml:space="preserve">The buy-out mechanism is the principal express economic consequence.</w:t>
      </w:r>
    </w:p>
    <w:p>
      <w:pPr/>
      <w:r>
        <w:rPr>
          <w:sz w:val="22"/>
        </w:rPr>
        <w:t xml:space="preserve">### G. Potential breach remedies</w:t>
      </w:r>
    </w:p>
    <w:p>
      <w:pPr/>
      <w:r>
        <w:rPr>
          <w:sz w:val="22"/>
        </w:rPr>
        <w:t xml:space="preserve">Section 16.2 requires each Member to indemnify the other Member and the Company for losses, claims, damages, liabilities, and expenses arising from a breach of that Member’s representations, covenants, or obligations. This could be relevant to a failure to comply with notice, successor, or other Change-of-Control obligations, but the Agreement does not expressly tie Section 16.2 to a specific Change-of-Control remedy.</w:t>
      </w:r>
    </w:p>
    <w:p>
      <w:pPr/>
      <w:r>
        <w:rPr>
          <w:sz w:val="22"/>
        </w:rPr>
        <w:t xml:space="preserve">Disputes generally are subject to the escalation, mediation, and arbitration provisions of Article XIV.</w:t>
      </w:r>
    </w:p>
    <w:p>
      <w:pPr/>
      <w:r>
        <w:rPr>
          <w:sz w:val="22"/>
        </w:rPr>
        <w:t xml:space="preserve">---</w:t>
      </w:r>
    </w:p>
    <w:p>
      <w:pPr>
        <w:pStyle w:val="Heading2"/>
      </w:pPr>
      <w:r>
        <w:rPr>
          <w:sz w:val="22"/>
        </w:rPr>
        <w:t xml:space="preserve">Contract-Specific Risk Conclusion</w:t>
      </w:r>
    </w:p>
    <w:p>
      <w:pPr/>
      <w:r>
        <w:rPr>
          <w:sz w:val="22"/>
        </w:rPr>
        <w:t xml:space="preserve">The Apex Kenji Jv Agreement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2. Credit Agreement Summit</w:t>
      </w:r>
    </w:p>
    <w:p>
      <w:pPr/>
      <w:r>
        <w:rPr>
          <w:sz w:val="22"/>
        </w:rPr>
        <w:t xml:space="preserve">Source file: credit-agreement-summit.docx.txt</w:t>
      </w:r>
    </w:p>
    <w:p>
      <w:pPr/>
      <w:r>
        <w:rPr>
          <w:sz w:val="22"/>
        </w:rPr>
        <w:t xml:space="preserve">Risk rating: High</w:t>
      </w:r>
    </w:p>
    <w:p>
      <w:pPr>
        <w:pStyle w:val="Heading2"/>
      </w:pPr>
      <w:r>
        <w:rPr>
          <w:sz w:val="22"/>
        </w:rPr>
        <w:t xml:space="preserve">2. Express Change of Control / change-in-control definitions</w:t>
      </w:r>
    </w:p>
    <w:p>
      <w:pPr/>
      <w:r>
        <w:rPr>
          <w:sz w:val="22"/>
        </w:rPr>
        <w:t xml:space="preserve">### A. “Change of Control” — Section 1.01</w:t>
      </w:r>
    </w:p>
    <w:p>
      <w:pPr/>
      <w:r>
        <w:rPr>
          <w:sz w:val="22"/>
        </w:rPr>
        <w:t xml:space="preserve">Section 1.01 defines “Change of Control” as the occurrence of either of the following:</w:t>
      </w:r>
    </w:p>
    <w:p>
      <w:pPr/>
      <w:r>
        <w:rPr>
          <w:sz w:val="22"/>
        </w:rPr>
        <w:t xml:space="preserve">1. Borrower-level ownership trigger:      Any “person” or “group,” as used in Sections 13(d) and 14(d) of the Securities Exchange Act of 1934, acquires, directly or indirectly, beneficial ownership, within the meaning of SEC Rule 13d-3, of more than 50% of the outstanding Voting Stock of the Borrower.</w:t>
      </w:r>
    </w:p>
    <w:p>
      <w:pPr/>
      <w:r>
        <w:rPr>
          <w:sz w:val="22"/>
        </w:rPr>
        <w:t xml:space="preserve">2. Subsidiary ownership trigger:      The Borrower ceases to own, directly or indirectly, 100% of the Equity Interests of each Subsidiary, except for Apex-Kenji Precision JV, LLC, in which the Borrower must maintain an ownership interest of not less than 51%.</w:t>
      </w:r>
    </w:p>
    <w:p>
      <w:pPr/>
      <w:r>
        <w:rPr>
          <w:sz w:val="22"/>
        </w:rPr>
        <w:t xml:space="preserve">Thresholds:   - Borrower Voting Stock: more than 50%.   - Ordinary Subsidiaries: 100% ownership must be maintained.   - Apex-Kenji Precision JV, LLC: ownership may not fall below 51%. The contract states that the Borrower owns 55% as of the Effective Date.</w:t>
      </w:r>
    </w:p>
    <w:p>
      <w:pPr/>
      <w:r>
        <w:rPr>
          <w:sz w:val="22"/>
        </w:rPr>
        <w:t xml:space="preserve">### B. “Change in Control” — Section 8.01(j)</w:t>
      </w:r>
    </w:p>
    <w:p>
      <w:pPr/>
      <w:r>
        <w:rPr>
          <w:sz w:val="22"/>
        </w:rPr>
        <w:t xml:space="preserve">Section 8.01(j) separately provides that a “Change in Control” constitutes an Event of Default. For purposes of that section, “Change in Control” means either:</w:t>
      </w:r>
    </w:p>
    <w:p>
      <w:pPr/>
      <w:r>
        <w:rPr>
          <w:sz w:val="22"/>
        </w:rPr>
        <w:t xml:space="preserve">1. Lower ownership threshold:      Acquisition by any person or group of persons acting in concert of beneficial ownership of more than 35% of the outstanding Voting Stock of the Borrower; or</w:t>
      </w:r>
    </w:p>
    <w:p>
      <w:pPr/>
      <w:r>
        <w:rPr>
          <w:sz w:val="22"/>
        </w:rPr>
        <w:t xml:space="preserve">2. Board composition / management-control trigger:      Individuals who constituted the Borrower’s Board of Directors as of the Effective Date, together with replacement directors whose election or nomination was approved by a majority of the directors then still in office who were either:    - directors as of the Effective Date, or    - previously approved replacement directors,</w:t>
      </w:r>
    </w:p>
    <w:p>
      <w:pPr/>
      <w:r>
        <w:rPr>
          <w:sz w:val="22"/>
        </w:rPr>
        <w:t xml:space="preserve">cease to constitute a majority of the Board of Directors.</w:t>
      </w:r>
    </w:p>
    <w:p>
      <w:pPr/>
      <w:r>
        <w:rPr>
          <w:sz w:val="22"/>
        </w:rPr>
        <w:t xml:space="preserve">Thresholds:   - Borrower Voting Stock: more than 35%.   - Board continuity: Effective-Date directors and approved successors must remain a majority of the Board.</w:t>
      </w:r>
    </w:p>
    <w:p>
      <w:pPr/>
      <w:r>
        <w:rPr>
          <w:sz w:val="22"/>
        </w:rPr>
        <w:t xml:space="preserve">### Important distinction</w:t>
      </w:r>
    </w:p>
    <w:p>
      <w:pPr/>
      <w:r>
        <w:rPr>
          <w:sz w:val="22"/>
        </w:rPr>
        <w:t xml:space="preserve">The Agreement uses two separately defined concepts:</w:t>
      </w:r>
    </w:p>
    <w:p>
      <w:pPr>
        <w:pStyle w:val="ListBullet"/>
      </w:pPr>
      <w:r>
        <w:rPr>
          <w:sz w:val="22"/>
        </w:rPr>
        <w:t xml:space="preserve">“Change of Control” under Section 1.01, principally a 50% ownership or subsidiary-ownership test.</w:t>
      </w:r>
    </w:p>
    <w:p>
      <w:pPr>
        <w:pStyle w:val="ListBullet"/>
      </w:pPr>
      <w:r>
        <w:rPr>
          <w:sz w:val="22"/>
        </w:rPr>
        <w:t xml:space="preserve">“Change in Control” under Section 8.01(j), principally a 35% ownership or board-composition test.</w:t>
      </w:r>
    </w:p>
    <w:p>
      <w:pPr/>
      <w:r>
        <w:rPr>
          <w:sz w:val="22"/>
        </w:rPr>
        <w:t xml:space="preserve">The lower 35% “Change in Control” test is an Event of Default even if the transaction does not meet the 50% “Change of Control” definition in Section 1.01.</w:t>
      </w:r>
    </w:p>
    <w:p>
      <w:pPr/>
      <w:r>
        <w:rPr>
          <w:sz w:val="22"/>
        </w:rPr>
        <w:t xml:space="preserve">Section 6.03’s avoidance language expressly refers to both concepts: transactions constituting a “Change of Control” under Section 1.01 or a “Change in Control” under Section 8.01(j).</w:t>
      </w:r>
    </w:p>
    <w:p>
      <w:pPr/>
      <w:r>
        <w:rPr>
          <w:sz w:val="22"/>
        </w:rPr>
        <w:t xml:space="preserve">---</w:t>
      </w:r>
    </w:p>
    <w:p>
      <w:pPr>
        <w:pStyle w:val="Heading2"/>
      </w:pPr>
      <w:r>
        <w:rPr>
          <w:sz w:val="22"/>
        </w:rPr>
        <w:t xml:space="preserve">4. Notice requirements</w:t>
      </w:r>
    </w:p>
    <w:p>
      <w:pPr/>
      <w:r>
        <w:rPr>
          <w:sz w:val="22"/>
        </w:rPr>
        <w:t xml:space="preserve">### A. Change of Control notice — Section 2.09(d)</w:t>
      </w:r>
    </w:p>
    <w:p>
      <w:pPr/>
      <w:r>
        <w:rPr>
          <w:sz w:val="22"/>
        </w:rPr>
        <w:t xml:space="preserve">Upon occurrence of a Change of Control under Section 1.01:</w:t>
      </w:r>
    </w:p>
    <w:p>
      <w:pPr>
        <w:pStyle w:val="ListBullet"/>
      </w:pPr>
      <w:r>
        <w:rPr>
          <w:sz w:val="22"/>
        </w:rPr>
        <w:t xml:space="preserve">The Borrower must deliver written notice to the Administrative Agent.</w:t>
      </w:r>
    </w:p>
    <w:p>
      <w:pPr>
        <w:pStyle w:val="ListBullet"/>
      </w:pPr>
      <w:r>
        <w:rPr>
          <w:sz w:val="22"/>
        </w:rPr>
        <w:t xml:space="preserve">Notice must be given promptly and in any event within five Business Days after the date on which the Borrower becomes aware of the occurrence.</w:t>
      </w:r>
    </w:p>
    <w:p>
      <w:pPr>
        <w:pStyle w:val="ListBullet"/>
      </w:pPr>
      <w:r>
        <w:rPr>
          <w:sz w:val="22"/>
        </w:rPr>
        <w:t xml:space="preserve">The provision does not prescribe specific substantive content for the Change of Control notice.</w:t>
      </w:r>
    </w:p>
    <w:p>
      <w:pPr/>
      <w:r>
        <w:rPr>
          <w:sz w:val="22"/>
        </w:rPr>
        <w:t xml:space="preserve">### B. Change in Control notice — Section 5.07(c)</w:t>
      </w:r>
    </w:p>
    <w:p>
      <w:pPr/>
      <w:r>
        <w:rPr>
          <w:sz w:val="22"/>
        </w:rPr>
        <w:t xml:space="preserve">Section 5.07 requires the Borrower to deliver written notice of:</w:t>
      </w:r>
    </w:p>
    <w:p>
      <w:pPr/>
      <w:r>
        <w:rPr>
          <w:sz w:val="22"/>
        </w:rPr>
        <w:t xml:space="preserve">“any Change of Control or Change in Control (as those terms are defined herein)”</w:t>
      </w:r>
    </w:p>
    <w:p>
      <w:pPr/>
      <w:r>
        <w:rPr>
          <w:sz w:val="22"/>
        </w:rPr>
        <w:t xml:space="preserve">The notice must be delivered:</w:t>
      </w:r>
    </w:p>
    <w:p>
      <w:pPr>
        <w:pStyle w:val="ListBullet"/>
      </w:pPr>
      <w:r>
        <w:rPr>
          <w:sz w:val="22"/>
        </w:rPr>
        <w:t xml:space="preserve">promptly; and</w:t>
      </w:r>
    </w:p>
    <w:p>
      <w:pPr>
        <w:pStyle w:val="ListBullet"/>
      </w:pPr>
      <w:r>
        <w:rPr>
          <w:sz w:val="22"/>
        </w:rPr>
        <w:t xml:space="preserve">in any event within five Business Days after a Responsible Officer obtains knowledge.</w:t>
      </w:r>
    </w:p>
    <w:p>
      <w:pPr/>
      <w:r>
        <w:rPr>
          <w:sz w:val="22"/>
        </w:rPr>
        <w:t xml:space="preserve">The recipient is the Administrative Agent under the general operation of Section 5.07 and Section 10.01. The provision does not state required substantive content beyond notifying the Administrative Agent of the event.</w:t>
      </w:r>
    </w:p>
    <w:p>
      <w:pPr/>
      <w:r>
        <w:rPr>
          <w:sz w:val="22"/>
        </w:rPr>
        <w:t xml:space="preserve">### C. General notice mechanics — Section 10.01</w:t>
      </w:r>
    </w:p>
    <w:p>
      <w:pPr/>
      <w:r>
        <w:rPr>
          <w:sz w:val="22"/>
        </w:rPr>
        <w:t xml:space="preserve">Notices must be in writing and may be delivered by:</w:t>
      </w:r>
    </w:p>
    <w:p>
      <w:pPr>
        <w:pStyle w:val="ListBullet"/>
      </w:pPr>
      <w:r>
        <w:rPr>
          <w:sz w:val="22"/>
        </w:rPr>
        <w:t xml:space="preserve">hand;</w:t>
      </w:r>
    </w:p>
    <w:p>
      <w:pPr>
        <w:pStyle w:val="ListBullet"/>
      </w:pPr>
      <w:r>
        <w:rPr>
          <w:sz w:val="22"/>
        </w:rPr>
        <w:t xml:space="preserve">overnight courier;</w:t>
      </w:r>
    </w:p>
    <w:p>
      <w:pPr>
        <w:pStyle w:val="ListBullet"/>
      </w:pPr>
      <w:r>
        <w:rPr>
          <w:sz w:val="22"/>
        </w:rPr>
        <w:t xml:space="preserve">certified or registered mail;</w:t>
      </w:r>
    </w:p>
    <w:p>
      <w:pPr>
        <w:pStyle w:val="ListBullet"/>
      </w:pPr>
      <w:r>
        <w:rPr>
          <w:sz w:val="22"/>
        </w:rPr>
        <w:t xml:space="preserve">facsimile; or</w:t>
      </w:r>
    </w:p>
    <w:p>
      <w:pPr>
        <w:pStyle w:val="ListBullet"/>
      </w:pPr>
      <w:r>
        <w:rPr>
          <w:sz w:val="22"/>
        </w:rPr>
        <w:t xml:space="preserve">electronic mail.</w:t>
      </w:r>
    </w:p>
    <w:p>
      <w:pPr/>
      <w:r>
        <w:rPr>
          <w:sz w:val="22"/>
        </w:rPr>
        <w:t xml:space="preserve">Administrative Agent notice address:</w:t>
      </w:r>
    </w:p>
    <w:p>
      <w:pPr/>
      <w:r>
        <w:rPr>
          <w:sz w:val="22"/>
        </w:rPr>
        <w:t xml:space="preserve">Summit National Bank, N.A.   One Summit Square, 14th Floor   175 South High Street   Columbus, OH 43215   Attention: Commercial Lending Division   Email: creditadmin@summitnational.com</w:t>
      </w:r>
    </w:p>
    <w:p>
      <w:pPr/>
      <w:r>
        <w:rPr>
          <w:sz w:val="22"/>
        </w:rPr>
        <w:t xml:space="preserve">Effectiveness timing under Section 10.01:</w:t>
      </w:r>
    </w:p>
    <w:p>
      <w:pPr>
        <w:pStyle w:val="ListBullet"/>
      </w:pPr>
      <w:r>
        <w:rPr>
          <w:sz w:val="22"/>
        </w:rPr>
        <w:t xml:space="preserve">hand: upon delivery;</w:t>
      </w:r>
    </w:p>
    <w:p>
      <w:pPr>
        <w:pStyle w:val="ListBullet"/>
      </w:pPr>
      <w:r>
        <w:rPr>
          <w:sz w:val="22"/>
        </w:rPr>
        <w:t xml:space="preserve">overnight courier: one Business Day after dispatch;</w:t>
      </w:r>
    </w:p>
    <w:p>
      <w:pPr>
        <w:pStyle w:val="ListBullet"/>
      </w:pPr>
      <w:r>
        <w:rPr>
          <w:sz w:val="22"/>
        </w:rPr>
        <w:t xml:space="preserve">mail: three Business Days after posting;</w:t>
      </w:r>
    </w:p>
    <w:p>
      <w:pPr>
        <w:pStyle w:val="ListBullet"/>
      </w:pPr>
      <w:r>
        <w:rPr>
          <w:sz w:val="22"/>
        </w:rPr>
        <w:t xml:space="preserve">facsimile or email: upon receipt of confirmation of transmission.</w:t>
      </w:r>
    </w:p>
    <w:p>
      <w:pPr/>
      <w:r>
        <w:rPr>
          <w:sz w:val="22"/>
        </w:rPr>
        <w:t xml:space="preserve">### D. Merger notice/documentation — Section 6.03(c)</w:t>
      </w:r>
    </w:p>
    <w:p>
      <w:pPr/>
      <w:r>
        <w:rPr>
          <w:sz w:val="22"/>
        </w:rPr>
        <w:t xml:space="preserve">For a permitted Borrower merger, consolidation, or similar transaction, the Borrower must provide:</w:t>
      </w:r>
    </w:p>
    <w:p>
      <w:pPr>
        <w:pStyle w:val="ListBullet"/>
      </w:pPr>
      <w:r>
        <w:rPr>
          <w:sz w:val="22"/>
        </w:rPr>
        <w:t xml:space="preserve">a Responsible Officer certificate certifying compliance with Section 6.03(c)(i)–(ii); and</w:t>
      </w:r>
    </w:p>
    <w:p>
      <w:pPr>
        <w:pStyle w:val="ListBullet"/>
      </w:pPr>
      <w:r>
        <w:rPr>
          <w:sz w:val="22"/>
        </w:rPr>
        <w:t xml:space="preserve">supporting documentation reasonably requested by the Administrative Agent,</w:t>
      </w:r>
    </w:p>
    <w:p>
      <w:pPr/>
      <w:r>
        <w:rPr>
          <w:sz w:val="22"/>
        </w:rPr>
        <w:t xml:space="preserve">at least 10 Business Days before consummation.</w:t>
      </w:r>
    </w:p>
    <w:p>
      <w:pPr/>
      <w:r>
        <w:rPr>
          <w:sz w:val="22"/>
        </w:rPr>
        <w:t xml:space="preserve">---</w:t>
      </w:r>
    </w:p>
    <w:p>
      <w:pPr>
        <w:pStyle w:val="Heading2"/>
      </w:pPr>
      <w:r>
        <w:rPr>
          <w:sz w:val="22"/>
        </w:rPr>
        <w:t xml:space="preserve">6. Assignment, transfer, successor, affiliate, and permitted-transfer restrictions</w:t>
      </w:r>
    </w:p>
    <w:p>
      <w:pPr/>
      <w:r>
        <w:rPr>
          <w:sz w:val="22"/>
        </w:rPr>
        <w:t xml:space="preserve">### A. Borrower assignment restriction</w:t>
      </w:r>
    </w:p>
    <w:p>
      <w:pPr/>
      <w:r>
        <w:rPr>
          <w:sz w:val="22"/>
        </w:rPr>
        <w:t xml:space="preserve">Section 10.05 provides:</w:t>
      </w:r>
    </w:p>
    <w:p>
      <w:pPr/>
      <w:r>
        <w:rPr>
          <w:sz w:val="22"/>
        </w:rPr>
        <w:t xml:space="preserve">“The Borrower may not assign or otherwise transfer any of its rights or obligations hereunder without the prior written consent of all Lenders.”</w:t>
      </w:r>
    </w:p>
    <w:p>
      <w:pPr/>
      <w:r>
        <w:rPr>
          <w:sz w:val="22"/>
        </w:rPr>
        <w:t xml:space="preserve">This is relevant to a direct transfer of the Borrower’s contractual position, but it does not expressly characterize a stock acquisition as an assignment.</w:t>
      </w:r>
    </w:p>
    <w:p>
      <w:pPr/>
      <w:r>
        <w:rPr>
          <w:sz w:val="22"/>
        </w:rPr>
        <w:t xml:space="preserve">### B. Lender assignments</w:t>
      </w:r>
    </w:p>
    <w:p>
      <w:pPr/>
      <w:r>
        <w:rPr>
          <w:sz w:val="22"/>
        </w:rPr>
        <w:t xml:space="preserve">Lenders may assign interests to Eligible Assignees subject to the consent mechanics described above. The minimum assignment amount is $5,000,000, unless the assigning Lender transfers its entire remaining Commitment.</w:t>
      </w:r>
    </w:p>
    <w:p>
      <w:pPr/>
      <w:r>
        <w:rPr>
          <w:sz w:val="22"/>
        </w:rPr>
        <w:t xml:space="preserve">### C. Successors</w:t>
      </w:r>
    </w:p>
    <w:p>
      <w:pPr/>
      <w:r>
        <w:rPr>
          <w:sz w:val="22"/>
        </w:rPr>
        <w:t xml:space="preserve">The Agreement binds and benefits the parties and their respective successors and permitted assigns. The definition of Borrower includes its successors and permitted assigns.</w:t>
      </w:r>
    </w:p>
    <w:p>
      <w:pPr/>
      <w:r>
        <w:rPr>
          <w:sz w:val="22"/>
        </w:rPr>
        <w:t xml:space="preserve">### D. Affiliate provisions</w:t>
      </w:r>
    </w:p>
    <w:p>
      <w:pPr/>
      <w:r>
        <w:rPr>
          <w:sz w:val="22"/>
        </w:rPr>
        <w:t xml:space="preserve">The Affiliate definition includes direct or indirect control through ownership of 10% or more of Voting Stock, contract, or otherwise. Section 6.07 restricts Affiliate transactions, subject to ordinary-course arm’s-length transactions and customary compensation and indemnification arrangements.</w:t>
      </w:r>
    </w:p>
    <w:p>
      <w:pPr/>
      <w:r>
        <w:rPr>
          <w:sz w:val="22"/>
        </w:rPr>
        <w:t xml:space="preserve">The Agreement contains no express acquisition exception based on the acquirer being an Affiliate, fund, parent, or other permitted transferee.</w:t>
      </w:r>
    </w:p>
    <w:p>
      <w:pPr/>
      <w:r>
        <w:rPr>
          <w:sz w:val="22"/>
        </w:rPr>
        <w:t xml:space="preserve">---</w:t>
      </w:r>
    </w:p>
    <w:p>
      <w:pPr>
        <w:pStyle w:val="Heading2"/>
      </w:pPr>
      <w:r>
        <w:rPr>
          <w:sz w:val="22"/>
        </w:rPr>
        <w:t xml:space="preserve">Contract-Specific Risk Conclusion</w:t>
      </w:r>
    </w:p>
    <w:p>
      <w:pPr/>
      <w:r>
        <w:rPr>
          <w:sz w:val="22"/>
        </w:rPr>
        <w:t xml:space="preserve">The Credit Agreement Summit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3. Hendricks License Agreement</w:t>
      </w:r>
    </w:p>
    <w:p>
      <w:pPr/>
      <w:r>
        <w:rPr>
          <w:sz w:val="22"/>
        </w:rPr>
        <w:t xml:space="preserve">Source file: hendricks-license-agreement.docx.txt</w:t>
      </w:r>
    </w:p>
    <w:p>
      <w:pPr/>
      <w:r>
        <w:rPr>
          <w:sz w:val="22"/>
        </w:rPr>
        <w:t xml:space="preserve">Risk rating: High</w:t>
      </w:r>
    </w:p>
    <w:p>
      <w:pPr>
        <w:pStyle w:val="Heading2"/>
      </w:pPr>
      <w:r>
        <w:rPr>
          <w:sz w:val="22"/>
        </w:rPr>
        <w:t xml:space="preserve">1. Express Change-of-Control Definitions and Thresholds</w:t>
      </w:r>
    </w:p>
    <w:p>
      <w:pPr/>
      <w:r>
        <w:rPr>
          <w:sz w:val="22"/>
        </w:rPr>
        <w:t xml:space="preserve">### A. Licensee Change of Control — Section 1.3</w:t>
      </w:r>
    </w:p>
    <w:p>
      <w:pPr/>
      <w:r>
        <w:rPr>
          <w:sz w:val="22"/>
        </w:rPr>
        <w:t xml:space="preserve">Section 1.3 defines “Change of Control,” with respect to Licensee, as any of the following:</w:t>
      </w:r>
    </w:p>
    <w:p>
      <w:pPr/>
      <w:r>
        <w:rPr>
          <w:sz w:val="22"/>
        </w:rPr>
        <w:t xml:space="preserve">1. Merger, consolidation, or reorganization involving Licensee, “whether or not Licensee is the surviving entity.” 2. Sale, transfer, or other disposition of all or substantially all of Licensee’s assets. 3. Acquisition by any person or group of persons of beneficial ownership of more than 50% of Licensee’s outstanding voting securities. 4. Any other transaction or series of related transactions resulting in “a change in the identity of the person or persons who ultimately control Licensee.”</w:t>
      </w:r>
    </w:p>
    <w:p>
      <w:pPr/>
      <w:r>
        <w:rPr>
          <w:sz w:val="22"/>
        </w:rPr>
        <w:t xml:space="preserve">The definition applies “regardless of the form of transaction,” including:</w:t>
      </w:r>
    </w:p>
    <w:p>
      <w:pPr>
        <w:pStyle w:val="ListBullet"/>
      </w:pPr>
      <w:r>
        <w:rPr>
          <w:sz w:val="22"/>
        </w:rPr>
        <w:t xml:space="preserve">Forward mergers;</w:t>
      </w:r>
    </w:p>
    <w:p>
      <w:pPr>
        <w:pStyle w:val="ListBullet"/>
      </w:pPr>
      <w:r>
        <w:rPr>
          <w:sz w:val="22"/>
        </w:rPr>
        <w:t xml:space="preserve">Reverse mergers;</w:t>
      </w:r>
    </w:p>
    <w:p>
      <w:pPr>
        <w:pStyle w:val="ListBullet"/>
      </w:pPr>
      <w:r>
        <w:rPr>
          <w:sz w:val="22"/>
        </w:rPr>
        <w:t xml:space="preserve">Triangular mergers; and</w:t>
      </w:r>
    </w:p>
    <w:p>
      <w:pPr>
        <w:pStyle w:val="ListBullet"/>
      </w:pPr>
      <w:r>
        <w:rPr>
          <w:sz w:val="22"/>
        </w:rPr>
        <w:t xml:space="preserve">Any combination of those forms.</w:t>
      </w:r>
    </w:p>
    <w:p>
      <w:pPr/>
      <w:r>
        <w:rPr>
          <w:sz w:val="22"/>
        </w:rPr>
        <w:t xml:space="preserve">### B. Control Definition — Section 1.1</w:t>
      </w:r>
    </w:p>
    <w:p>
      <w:pPr/>
      <w:r>
        <w:rPr>
          <w:sz w:val="22"/>
        </w:rPr>
        <w:t xml:space="preserve">Section 1.1 defines “control” for purposes of “Affiliate” as ownership of 50% or more of the outstanding voting securities or equivalent ownership interest.</w:t>
      </w:r>
    </w:p>
    <w:p>
      <w:pPr/>
      <w:r>
        <w:rPr>
          <w:sz w:val="22"/>
        </w:rPr>
        <w:t xml:space="preserve">This is distinct from the Change-of-Control threshold in Section 1.3(c), which requires acquisition of more than 50% of Licensee’s outstanding voting securities.</w:t>
      </w:r>
    </w:p>
    <w:p>
      <w:pPr/>
      <w:r>
        <w:rPr>
          <w:sz w:val="22"/>
        </w:rPr>
        <w:t xml:space="preserve">### C. No Separate Management-Control Definition</w:t>
      </w:r>
    </w:p>
    <w:p>
      <w:pPr/>
      <w:r>
        <w:rPr>
          <w:sz w:val="22"/>
        </w:rPr>
        <w:t xml:space="preserve">The Agreement does not expressly define a change in management, board composition, senior executive control, or operational control as an independent trigger. Section 1.3(d), however, broadly covers a transaction that changes the identity of the person or persons who “ultimately control” Licensee. Whether a particular management or governance change falls within that language is not specified.</w:t>
      </w:r>
    </w:p>
    <w:p>
      <w:pPr/>
      <w:r>
        <w:rPr>
          <w:sz w:val="22"/>
        </w:rPr>
        <w:t xml:space="preserve">---</w:t>
      </w:r>
    </w:p>
    <w:p>
      <w:pPr>
        <w:pStyle w:val="Heading2"/>
      </w:pPr>
      <w:r>
        <w:rPr>
          <w:sz w:val="22"/>
        </w:rPr>
        <w:t xml:space="preserve">2. Acquisition-Related Triggers</w:t>
      </w:r>
    </w:p>
    <w:p>
      <w:pPr>
        <w:pStyle w:val="ListBullet"/>
      </w:pPr>
      <w:r>
        <w:rPr>
          <w:sz w:val="22"/>
        </w:rPr>
        <w:t xml:space="preserve">Transaction or event | Express treatment</w:t>
      </w:r>
    </w:p>
    <w:p>
      <w:pPr>
        <w:pStyle w:val="ListBullet"/>
      </w:pPr>
      <w:r>
        <w:rPr>
          <w:sz w:val="22"/>
        </w:rPr>
        <w:t xml:space="preserve">Merger | Trigger under Section 1.3(a), whether or not Licensee survives</w:t>
      </w:r>
    </w:p>
    <w:p>
      <w:pPr>
        <w:pStyle w:val="ListBullet"/>
      </w:pPr>
      <w:r>
        <w:rPr>
          <w:sz w:val="22"/>
        </w:rPr>
        <w:t xml:space="preserve">Consolidation | Trigger under Section 1.3(a)</w:t>
      </w:r>
    </w:p>
    <w:p>
      <w:pPr>
        <w:pStyle w:val="ListBullet"/>
      </w:pPr>
      <w:r>
        <w:rPr>
          <w:sz w:val="22"/>
        </w:rPr>
        <w:t xml:space="preserve">Reorganization | Trigger under Section 1.3(a)</w:t>
      </w:r>
    </w:p>
    <w:p>
      <w:pPr>
        <w:pStyle w:val="ListBullet"/>
      </w:pPr>
      <w:r>
        <w:rPr>
          <w:sz w:val="22"/>
        </w:rPr>
        <w:t xml:space="preserve">Forward merger | Expressly included under Section 1.3</w:t>
      </w:r>
    </w:p>
    <w:p>
      <w:pPr>
        <w:pStyle w:val="ListBullet"/>
      </w:pPr>
      <w:r>
        <w:rPr>
          <w:sz w:val="22"/>
        </w:rPr>
        <w:t xml:space="preserve">Reverse merger | Expressly included under Section 1.3</w:t>
      </w:r>
    </w:p>
    <w:p>
      <w:pPr>
        <w:pStyle w:val="ListBullet"/>
      </w:pPr>
      <w:r>
        <w:rPr>
          <w:sz w:val="22"/>
        </w:rPr>
        <w:t xml:space="preserve">Triangular merger | Expressly included under Section 1.3</w:t>
      </w:r>
    </w:p>
    <w:p>
      <w:pPr>
        <w:pStyle w:val="ListBullet"/>
      </w:pPr>
      <w:r>
        <w:rPr>
          <w:sz w:val="22"/>
        </w:rPr>
        <w:t xml:space="preserve">Sale of all or substantially all assets | Trigger under Section 1.3(b)</w:t>
      </w:r>
    </w:p>
    <w:p>
      <w:pPr>
        <w:pStyle w:val="ListBullet"/>
      </w:pPr>
      <w:r>
        <w:rPr>
          <w:sz w:val="22"/>
        </w:rPr>
        <w:t xml:space="preserve">Asset transfer or other disposition | Trigger under Section 1.3(b) if involving all or substantially all assets</w:t>
      </w:r>
    </w:p>
    <w:p>
      <w:pPr>
        <w:pStyle w:val="ListBullet"/>
      </w:pPr>
      <w:r>
        <w:rPr>
          <w:sz w:val="22"/>
        </w:rPr>
        <w:t xml:space="preserve">Acquisition of voting securities | Trigger if a person or group acquires beneficial ownership of more than 50% of outstanding voting securities</w:t>
      </w:r>
    </w:p>
    <w:p>
      <w:pPr>
        <w:pStyle w:val="ListBullet"/>
      </w:pPr>
      <w:r>
        <w:rPr>
          <w:sz w:val="22"/>
        </w:rPr>
        <w:t xml:space="preserve">Indirect control | Covered through Section 1.3(d)’s “ultimately control” language; Section 1.1 also recognizes direct or indirect control for Affiliate purposes</w:t>
      </w:r>
    </w:p>
    <w:p>
      <w:pPr>
        <w:pStyle w:val="ListBullet"/>
      </w:pPr>
      <w:r>
        <w:rPr>
          <w:sz w:val="22"/>
        </w:rPr>
        <w:t xml:space="preserve">Series of related transactions | Expressly covered under Section 1.3(d)</w:t>
      </w:r>
    </w:p>
    <w:p>
      <w:pPr>
        <w:pStyle w:val="ListBullet"/>
      </w:pPr>
      <w:r>
        <w:rPr>
          <w:sz w:val="22"/>
        </w:rPr>
        <w:t xml:space="preserve">Management change | Not separately stated; potentially covered only if it changes ultimate control under Section 1.3(d)</w:t>
      </w:r>
    </w:p>
    <w:p>
      <w:pPr>
        <w:pStyle w:val="ListBullet"/>
      </w:pPr>
      <w:r>
        <w:rPr>
          <w:sz w:val="22"/>
        </w:rPr>
        <w:t xml:space="preserve">Change in Licensee’s direct parent or upstream owner | Not expressly stated, but may be covered if it results in a change in the identity of the person or persons ultimately controlling Licensee</w:t>
      </w:r>
    </w:p>
    <w:p>
      <w:pPr>
        <w:pStyle w:val="ListBullet"/>
      </w:pPr>
      <w:r>
        <w:rPr>
          <w:sz w:val="22"/>
        </w:rPr>
        <w:t xml:space="preserve">Change in control of an Affiliate | Not expressly stated as a standalone trigger, unless it causes a Change of Control of Licensee</w:t>
      </w:r>
    </w:p>
    <w:p>
      <w:pPr>
        <w:pStyle w:val="ListBullet"/>
      </w:pPr>
      <w:r>
        <w:rPr>
          <w:sz w:val="22"/>
        </w:rPr>
        <w:t xml:space="preserve">Internal reorganization | Not carved out; Section 1.3(a) covers any reorganization involving Licensee</w:t>
      </w:r>
    </w:p>
    <w:p>
      <w:pPr>
        <w:pStyle w:val="ListBullet"/>
      </w:pPr>
      <w:r>
        <w:rPr>
          <w:sz w:val="22"/>
        </w:rPr>
        <w:t xml:space="preserve">Acquisition of less than or equal to 50% of voting securities | Not a trigger under Section 1.3(c) solely on that basis, but could potentially be covered by Section 1.3(d) if it changes ultimate control</w:t>
      </w:r>
    </w:p>
    <w:p>
      <w:pPr/>
      <w:r>
        <w:rPr>
          <w:sz w:val="22"/>
        </w:rPr>
        <w:t xml:space="preserve">---</w:t>
      </w:r>
    </w:p>
    <w:p>
      <w:pPr>
        <w:pStyle w:val="Heading2"/>
      </w:pPr>
      <w:r>
        <w:rPr>
          <w:sz w:val="22"/>
        </w:rPr>
        <w:t xml:space="preserve">3. Notice Requirements</w:t>
      </w:r>
    </w:p>
    <w:p>
      <w:pPr/>
      <w:r>
        <w:rPr>
          <w:sz w:val="22"/>
        </w:rPr>
        <w:t xml:space="preserve">### A. Change-of-Control Termination Notice</w:t>
      </w:r>
    </w:p>
    <w:p>
      <w:pPr/>
      <w:r>
        <w:rPr>
          <w:sz w:val="22"/>
        </w:rPr>
        <w:t xml:space="preserve">Under Section 9.1:</w:t>
      </w:r>
    </w:p>
    <w:p>
      <w:pPr>
        <w:pStyle w:val="ListBullet"/>
      </w:pPr>
      <w:r>
        <w:rPr>
          <w:sz w:val="22"/>
        </w:rPr>
        <w:t xml:space="preserve">Licensor may terminate “immediately upon written notice to Licensee” upon a Licensee Change of Control.</w:t>
      </w:r>
    </w:p>
    <w:p>
      <w:pPr>
        <w:pStyle w:val="ListBullet"/>
      </w:pPr>
      <w:r>
        <w:rPr>
          <w:sz w:val="22"/>
        </w:rPr>
        <w:t xml:space="preserve">No prior notice period, cure period, or consent opportunity is required.</w:t>
      </w:r>
    </w:p>
    <w:p>
      <w:pPr>
        <w:pStyle w:val="ListBullet"/>
      </w:pPr>
      <w:r>
        <w:rPr>
          <w:sz w:val="22"/>
        </w:rPr>
        <w:t xml:space="preserve">Termination is effective immediately upon delivery of Licensor’s written notice.</w:t>
      </w:r>
    </w:p>
    <w:p>
      <w:pPr/>
      <w:r>
        <w:rPr>
          <w:sz w:val="22"/>
        </w:rPr>
        <w:t xml:space="preserve">### B. Notice Method and Recipients — Section 12.5</w:t>
      </w:r>
    </w:p>
    <w:p>
      <w:pPr/>
      <w:r>
        <w:rPr>
          <w:sz w:val="22"/>
        </w:rPr>
        <w:t xml:space="preserve">Notices must be in writing and may be delivered by:</w:t>
      </w:r>
    </w:p>
    <w:p>
      <w:pPr>
        <w:pStyle w:val="ListBullet"/>
      </w:pPr>
      <w:r>
        <w:rPr>
          <w:sz w:val="22"/>
        </w:rPr>
        <w:t xml:space="preserve">Hand delivery;</w:t>
      </w:r>
    </w:p>
    <w:p>
      <w:pPr>
        <w:pStyle w:val="ListBullet"/>
      </w:pPr>
      <w:r>
        <w:rPr>
          <w:sz w:val="22"/>
        </w:rPr>
        <w:t xml:space="preserve">Nationally recognized overnight courier; or</w:t>
      </w:r>
    </w:p>
    <w:p>
      <w:pPr>
        <w:pStyle w:val="ListBullet"/>
      </w:pPr>
      <w:r>
        <w:rPr>
          <w:sz w:val="22"/>
        </w:rPr>
        <w:t xml:space="preserve">Certified mail, return receipt requested, postage prepaid.</w:t>
      </w:r>
    </w:p>
    <w:p>
      <w:pPr/>
      <w:r>
        <w:rPr>
          <w:sz w:val="22"/>
        </w:rPr>
        <w:t xml:space="preserve">Notice to Licensor:</w:t>
      </w:r>
    </w:p>
    <w:p>
      <w:pPr/>
      <w:r>
        <w:rPr>
          <w:sz w:val="22"/>
        </w:rPr>
        <w:t xml:space="preserve">Hendricks Automation Systems, Inc.   Attn: Franklin Orr, Vice President, Licensing   55 Automation Way   Cambridge, MA 02142</w:t>
      </w:r>
    </w:p>
    <w:p>
      <w:pPr/>
      <w:r>
        <w:rPr>
          <w:sz w:val="22"/>
        </w:rPr>
        <w:t xml:space="preserve">Notice to Licensee:</w:t>
      </w:r>
    </w:p>
    <w:p>
      <w:pPr/>
      <w:r>
        <w:rPr>
          <w:sz w:val="22"/>
        </w:rPr>
        <w:t xml:space="preserve">Apex Industrial Technologies, Inc.   Attn: General Counsel   4200 Crescent Ridge Parkway, Suite 600   Cincinnati, OH 45202</w:t>
      </w:r>
    </w:p>
    <w:p>
      <w:pPr/>
      <w:r>
        <w:rPr>
          <w:sz w:val="22"/>
        </w:rPr>
        <w:t xml:space="preserve">A copy may be sent to:</w:t>
      </w:r>
    </w:p>
    <w:p>
      <w:pPr/>
      <w:r>
        <w:rPr>
          <w:sz w:val="22"/>
        </w:rPr>
        <w:t xml:space="preserve">Dr. Miriam Hesse, Chief Technology Officer   Apex Industrial Technologies, Inc.   4200 Crescent Ridge Parkway, Suite 600   Cincinnati, OH 45202</w:t>
      </w:r>
    </w:p>
    <w:p>
      <w:pPr/>
      <w:r>
        <w:rPr>
          <w:sz w:val="22"/>
        </w:rPr>
        <w:t xml:space="preserve">The copy to the CTO “shall not constitute notice.”</w:t>
      </w:r>
    </w:p>
    <w:p>
      <w:pPr/>
      <w:r>
        <w:rPr>
          <w:sz w:val="22"/>
        </w:rPr>
        <w:t xml:space="preserve">### C. Required Content</w:t>
      </w:r>
    </w:p>
    <w:p>
      <w:pPr/>
      <w:r>
        <w:rPr>
          <w:sz w:val="22"/>
        </w:rPr>
        <w:t xml:space="preserve">The Agreement does not prescribe specific substantive content for a Section 9.1 termination notice beyond that it be written and identify the termination. The Agreement also does not expressly require Licensee to provide advance notice of a proposed Change of Control.</w:t>
      </w:r>
    </w:p>
    <w:p>
      <w:pPr/>
      <w:r>
        <w:rPr>
          <w:sz w:val="22"/>
        </w:rPr>
        <w:t xml:space="preserve">Section 10.1 requires prior written consent for an assignment, transfer, delegation, or other disposition, including a Change of Control deemed to be an assignment by operation of law. The Agreement does not specify a separate deadline or required contents for a consent request.</w:t>
      </w:r>
    </w:p>
    <w:p>
      <w:pPr/>
      <w:r>
        <w:rPr>
          <w:sz w:val="22"/>
        </w:rPr>
        <w:t xml:space="preserve">---</w:t>
      </w:r>
    </w:p>
    <w:p>
      <w:pPr>
        <w:pStyle w:val="Heading2"/>
      </w:pPr>
      <w:r>
        <w:rPr>
          <w:sz w:val="22"/>
        </w:rPr>
        <w:t xml:space="preserve">4. Consent, Approval, Waiver, and Consultation Rights</w:t>
      </w:r>
    </w:p>
    <w:p>
      <w:pPr/>
      <w:r>
        <w:rPr>
          <w:sz w:val="22"/>
        </w:rPr>
        <w:t xml:space="preserve">### A. Licensor Consent to Assignment or Transfer — Section 10.1</w:t>
      </w:r>
    </w:p>
    <w:p>
      <w:pPr/>
      <w:r>
        <w:rPr>
          <w:sz w:val="22"/>
        </w:rPr>
        <w:t xml:space="preserve">Licensee may not:</w:t>
      </w:r>
    </w:p>
    <w:p>
      <w:pPr>
        <w:pStyle w:val="ListBullet"/>
      </w:pPr>
      <w:r>
        <w:rPr>
          <w:sz w:val="22"/>
        </w:rPr>
        <w:t xml:space="preserve">Assign;</w:t>
      </w:r>
    </w:p>
    <w:p>
      <w:pPr>
        <w:pStyle w:val="ListBullet"/>
      </w:pPr>
      <w:r>
        <w:rPr>
          <w:sz w:val="22"/>
        </w:rPr>
        <w:t xml:space="preserve">Transfer;</w:t>
      </w:r>
    </w:p>
    <w:p>
      <w:pPr>
        <w:pStyle w:val="ListBullet"/>
      </w:pPr>
      <w:r>
        <w:rPr>
          <w:sz w:val="22"/>
        </w:rPr>
        <w:t xml:space="preserve">Delegate; or</w:t>
      </w:r>
    </w:p>
    <w:p>
      <w:pPr>
        <w:pStyle w:val="ListBullet"/>
      </w:pPr>
      <w:r>
        <w:rPr>
          <w:sz w:val="22"/>
        </w:rPr>
        <w:t xml:space="preserve">Otherwise dispose of the Agreement or any rights or obligations under it,</w:t>
      </w:r>
    </w:p>
    <w:p>
      <w:pPr/>
      <w:r>
        <w:rPr>
          <w:sz w:val="22"/>
        </w:rPr>
        <w:t xml:space="preserve">whether by operation of law or otherwise, without Licensor’s prior written consent.</w:t>
      </w:r>
    </w:p>
    <w:p>
      <w:pPr/>
      <w:r>
        <w:rPr>
          <w:sz w:val="22"/>
        </w:rPr>
        <w:t xml:space="preserve">Licensor may withhold consent in its “sole and absolute discretion.”</w:t>
      </w:r>
    </w:p>
    <w:p>
      <w:pPr/>
      <w:r>
        <w:rPr>
          <w:sz w:val="22"/>
        </w:rPr>
        <w:t xml:space="preserve">Any attempted assignment, transfer, delegation, or disposition violating Section 10.1 is expressly stated to be:</w:t>
      </w:r>
    </w:p>
    <w:p>
      <w:pPr/>
      <w:r>
        <w:rPr>
          <w:sz w:val="22"/>
        </w:rPr>
        <w:t xml:space="preserve">“null and void and of no force or effect.”</w:t>
      </w:r>
    </w:p>
    <w:p>
      <w:pPr/>
      <w:r>
        <w:rPr>
          <w:sz w:val="22"/>
        </w:rPr>
        <w:t xml:space="preserve">Section 10.1 further provides:</w:t>
      </w:r>
    </w:p>
    <w:p>
      <w:pPr/>
      <w:r>
        <w:rPr>
          <w:sz w:val="22"/>
        </w:rPr>
        <w:t xml:space="preserve">“For purposes of this Section 10.1, a Change of Control of Licensee shall be deemed an assignment by operation of law.”</w:t>
      </w:r>
    </w:p>
    <w:p>
      <w:pPr/>
      <w:r>
        <w:rPr>
          <w:sz w:val="22"/>
        </w:rPr>
        <w:t xml:space="preserve">### B. No Consent Right to the Change-of-Control Transaction Itself</w:t>
      </w:r>
    </w:p>
    <w:p>
      <w:pPr/>
      <w:r>
        <w:rPr>
          <w:sz w:val="22"/>
        </w:rPr>
        <w:t xml:space="preserve">Section 9.1 states that Licensor’s Change-of-Control termination right:</w:t>
      </w:r>
    </w:p>
    <w:p>
      <w:pPr>
        <w:pStyle w:val="ListBullet"/>
      </w:pPr>
      <w:r>
        <w:rPr>
          <w:sz w:val="22"/>
        </w:rPr>
        <w:t xml:space="preserve">Is exercisable in Licensor’s “sole and absolute discretion”;</w:t>
      </w:r>
    </w:p>
    <w:p>
      <w:pPr>
        <w:pStyle w:val="ListBullet"/>
      </w:pPr>
      <w:r>
        <w:rPr>
          <w:sz w:val="22"/>
        </w:rPr>
        <w:t xml:space="preserve">Does not require Licensor to justify its decision;</w:t>
      </w:r>
    </w:p>
    <w:p>
      <w:pPr>
        <w:pStyle w:val="ListBullet"/>
      </w:pPr>
      <w:r>
        <w:rPr>
          <w:sz w:val="22"/>
        </w:rPr>
        <w:t xml:space="preserve">Does not require a prior notice period;</w:t>
      </w:r>
    </w:p>
    <w:p>
      <w:pPr>
        <w:pStyle w:val="ListBullet"/>
      </w:pPr>
      <w:r>
        <w:rPr>
          <w:sz w:val="22"/>
        </w:rPr>
        <w:t xml:space="preserve">Does not require a cure period; and</w:t>
      </w:r>
    </w:p>
    <w:p>
      <w:pPr>
        <w:pStyle w:val="ListBullet"/>
      </w:pPr>
      <w:r>
        <w:rPr>
          <w:sz w:val="22"/>
        </w:rPr>
        <w:t xml:space="preserve">Does not provide Licensee an opportunity to obtain Licensor’s consent to the applicable Change-of-Control transaction.</w:t>
      </w:r>
    </w:p>
    <w:p>
      <w:pPr/>
      <w:r>
        <w:rPr>
          <w:sz w:val="22"/>
        </w:rPr>
        <w:t xml:space="preserve">### C. Other Relevant Consent Rights</w:t>
      </w:r>
    </w:p>
    <w:p>
      <w:pPr/>
      <w:r>
        <w:rPr>
          <w:sz w:val="22"/>
        </w:rPr>
        <w:t xml:space="preserve">Separate from Change of Control:</w:t>
      </w:r>
    </w:p>
    <w:p>
      <w:pPr>
        <w:pStyle w:val="ListBullet"/>
      </w:pPr>
      <w:r>
        <w:rPr>
          <w:sz w:val="22"/>
        </w:rPr>
        <w:t xml:space="preserve">Use of the Licensed Technology in other Apex product lines or applications requires Licensor’s prior written consent, which may be granted or withheld in Licensor’s sole discretion. Section 2.2.</w:t>
      </w:r>
    </w:p>
    <w:p>
      <w:pPr>
        <w:pStyle w:val="ListBullet"/>
      </w:pPr>
      <w:r>
        <w:rPr>
          <w:sz w:val="22"/>
        </w:rPr>
        <w:t xml:space="preserve">Sublicensing requires Licensor’s prior written approval. Section 2.2.</w:t>
      </w:r>
    </w:p>
    <w:p>
      <w:pPr>
        <w:pStyle w:val="ListBullet"/>
      </w:pPr>
      <w:r>
        <w:rPr>
          <w:sz w:val="22"/>
        </w:rPr>
        <w:t xml:space="preserve">Derivative Works created by Licensee require Licensor’s prior written consent. Section 2.4.</w:t>
      </w:r>
    </w:p>
    <w:p>
      <w:pPr/>
      <w:r>
        <w:rPr>
          <w:sz w:val="22"/>
        </w:rPr>
        <w:t xml:space="preserve">These are not themselves Change-of-Control triggers but may be relevant if the acquisition changes product scope, licensing structure, or intended use.</w:t>
      </w:r>
    </w:p>
    <w:p>
      <w:pPr/>
      <w:r>
        <w:rPr>
          <w:sz w:val="22"/>
        </w:rPr>
        <w:t xml:space="preserve">### D. Waiver and Amendment</w:t>
      </w:r>
    </w:p>
    <w:p>
      <w:pPr>
        <w:pStyle w:val="ListBullet"/>
      </w:pPr>
      <w:r>
        <w:rPr>
          <w:sz w:val="22"/>
        </w:rPr>
        <w:t xml:space="preserve">Waivers must be in writing and signed by the waiving party. Section 12.3.</w:t>
      </w:r>
    </w:p>
    <w:p>
      <w:pPr>
        <w:pStyle w:val="ListBullet"/>
      </w:pPr>
      <w:r>
        <w:rPr>
          <w:sz w:val="22"/>
        </w:rPr>
        <w:t xml:space="preserve">Amendments must be in writing and signed by authorized representatives of both parties. Section 12.2.</w:t>
      </w:r>
    </w:p>
    <w:p>
      <w:pPr/>
      <w:r>
        <w:rPr>
          <w:sz w:val="22"/>
        </w:rPr>
        <w:t xml:space="preserve">There is no express consultation right, right to object, or requirement that Licensor act reasonably in considering consent.</w:t>
      </w:r>
    </w:p>
    <w:p>
      <w:pPr/>
      <w:r>
        <w:rPr>
          <w:sz w:val="22"/>
        </w:rPr>
        <w:t xml:space="preserve">---</w:t>
      </w:r>
    </w:p>
    <w:p>
      <w:pPr>
        <w:pStyle w:val="Heading2"/>
      </w:pPr>
      <w:r>
        <w:rPr>
          <w:sz w:val="22"/>
        </w:rPr>
        <w:t xml:space="preserve">6. Consequences of a Change of Control</w:t>
      </w:r>
    </w:p>
    <w:p>
      <w:pPr/>
      <w:r>
        <w:rPr>
          <w:sz w:val="22"/>
        </w:rPr>
        <w:t xml:space="preserve">### A. Licensor’s Immediate Termination Right — Section 9.1</w:t>
      </w:r>
    </w:p>
    <w:p>
      <w:pPr/>
      <w:r>
        <w:rPr>
          <w:sz w:val="22"/>
        </w:rPr>
        <w:t xml:space="preserve">Upon a Licensee Change of Control, Licensor may terminate immediately by written notice, in its sole and absolute discretion.</w:t>
      </w:r>
    </w:p>
    <w:p>
      <w:pPr/>
      <w:r>
        <w:rPr>
          <w:sz w:val="22"/>
        </w:rPr>
        <w:t xml:space="preserve">The Agreement does not require Licensor to:</w:t>
      </w:r>
    </w:p>
    <w:p>
      <w:pPr>
        <w:pStyle w:val="ListBullet"/>
      </w:pPr>
      <w:r>
        <w:rPr>
          <w:sz w:val="22"/>
        </w:rPr>
        <w:t xml:space="preserve">Demonstrate harm;</w:t>
      </w:r>
    </w:p>
    <w:p>
      <w:pPr>
        <w:pStyle w:val="ListBullet"/>
      </w:pPr>
      <w:r>
        <w:rPr>
          <w:sz w:val="22"/>
        </w:rPr>
        <w:t xml:space="preserve">Provide a reason;</w:t>
      </w:r>
    </w:p>
    <w:p>
      <w:pPr>
        <w:pStyle w:val="ListBullet"/>
      </w:pPr>
      <w:r>
        <w:rPr>
          <w:sz w:val="22"/>
        </w:rPr>
        <w:t xml:space="preserve">Negotiate revised terms;</w:t>
      </w:r>
    </w:p>
    <w:p>
      <w:pPr>
        <w:pStyle w:val="ListBullet"/>
      </w:pPr>
      <w:r>
        <w:rPr>
          <w:sz w:val="22"/>
        </w:rPr>
        <w:t xml:space="preserve">Offer a buy-out;</w:t>
      </w:r>
    </w:p>
    <w:p>
      <w:pPr>
        <w:pStyle w:val="ListBullet"/>
      </w:pPr>
      <w:r>
        <w:rPr>
          <w:sz w:val="22"/>
        </w:rPr>
        <w:t xml:space="preserve">Provide a cure period; or</w:t>
      </w:r>
    </w:p>
    <w:p>
      <w:pPr>
        <w:pStyle w:val="ListBullet"/>
      </w:pPr>
      <w:r>
        <w:rPr>
          <w:sz w:val="22"/>
        </w:rPr>
        <w:t xml:space="preserve">Wait until closing or provide a post-closing period.</w:t>
      </w:r>
    </w:p>
    <w:p>
      <w:pPr/>
      <w:r>
        <w:rPr>
          <w:sz w:val="22"/>
        </w:rPr>
        <w:t xml:space="preserve">### B. Cessation of License Rights — Section 9.1 and Section 9.5</w:t>
      </w:r>
    </w:p>
    <w:p>
      <w:pPr/>
      <w:r>
        <w:rPr>
          <w:sz w:val="22"/>
        </w:rPr>
        <w:t xml:space="preserve">Upon delivery of the termination notice:</w:t>
      </w:r>
    </w:p>
    <w:p>
      <w:pPr>
        <w:pStyle w:val="ListBullet"/>
      </w:pPr>
      <w:r>
        <w:rPr>
          <w:sz w:val="22"/>
        </w:rPr>
        <w:t xml:space="preserve">Termination is immediately effective.</w:t>
      </w:r>
    </w:p>
    <w:p>
      <w:pPr>
        <w:pStyle w:val="ListBullet"/>
      </w:pPr>
      <w:r>
        <w:rPr>
          <w:sz w:val="22"/>
        </w:rPr>
        <w:t xml:space="preserve">All rights granted to Licensee cease, subject only to Section 9.5.</w:t>
      </w:r>
    </w:p>
    <w:p>
      <w:pPr/>
      <w:r>
        <w:rPr>
          <w:sz w:val="22"/>
        </w:rPr>
        <w:t xml:space="preserve">Section 9.5 requires:</w:t>
      </w:r>
    </w:p>
    <w:p>
      <w:pPr/>
      <w:r>
        <w:rPr>
          <w:sz w:val="22"/>
        </w:rPr>
        <w:t xml:space="preserve">1. Immediate cessation of all license rights and use of the Licensed Technology. 2. Return or destruction of all copies of the Licensed Technology and Documentation within 30 days. 3. Written certification of return or destruction signed by an authorized Licensee officer. 4. Immediate payment of all accrued but unpaid License Fees and Royalties.</w:t>
      </w:r>
    </w:p>
    <w:p>
      <w:pPr/>
      <w:r>
        <w:rPr>
          <w:sz w:val="22"/>
        </w:rPr>
        <w:t xml:space="preserve">### C. Limited Sell-Off Right — Section 9.5(c)</w:t>
      </w:r>
    </w:p>
    <w:p>
      <w:pPr/>
      <w:r>
        <w:rPr>
          <w:sz w:val="22"/>
        </w:rPr>
        <w:t xml:space="preserve">Licensee may sell existing inventory of Licensed Products that were fully manufactured before termination for a 90-day Sell-Off Period, subject to continued royalty payments.</w:t>
      </w:r>
    </w:p>
    <w:p>
      <w:pPr/>
      <w:r>
        <w:rPr>
          <w:sz w:val="22"/>
        </w:rPr>
        <w:t xml:space="preserve">Licensee may not manufacture new Licensed Products during the Sell-Off Period.</w:t>
      </w:r>
    </w:p>
    <w:p>
      <w:pPr/>
      <w:r>
        <w:rPr>
          <w:sz w:val="22"/>
        </w:rPr>
        <w:t xml:space="preserve">### D. No Express Buy-Out, Put, Call, Tag, Drag, or Pricing Adjustment</w:t>
      </w:r>
    </w:p>
    <w:p>
      <w:pPr/>
      <w:r>
        <w:rPr>
          <w:sz w:val="22"/>
        </w:rPr>
        <w:t xml:space="preserve">The Agreement contains no express provision for:</w:t>
      </w:r>
    </w:p>
    <w:p>
      <w:pPr>
        <w:pStyle w:val="ListBullet"/>
      </w:pPr>
      <w:r>
        <w:rPr>
          <w:sz w:val="22"/>
        </w:rPr>
        <w:t xml:space="preserve">A buy-out payment;</w:t>
      </w:r>
    </w:p>
    <w:p>
      <w:pPr>
        <w:pStyle w:val="ListBullet"/>
      </w:pPr>
      <w:r>
        <w:rPr>
          <w:sz w:val="22"/>
        </w:rPr>
        <w:t xml:space="preserve">Put or call rights;</w:t>
      </w:r>
    </w:p>
    <w:p>
      <w:pPr>
        <w:pStyle w:val="ListBullet"/>
      </w:pPr>
      <w:r>
        <w:rPr>
          <w:sz w:val="22"/>
        </w:rPr>
        <w:t xml:space="preserve">Tag-along or drag-along rights;</w:t>
      </w:r>
    </w:p>
    <w:p>
      <w:pPr>
        <w:pStyle w:val="ListBullet"/>
      </w:pPr>
      <w:r>
        <w:rPr>
          <w:sz w:val="22"/>
        </w:rPr>
        <w:t xml:space="preserve">Change-of-Control pricing;</w:t>
      </w:r>
    </w:p>
    <w:p>
      <w:pPr>
        <w:pStyle w:val="ListBullet"/>
      </w:pPr>
      <w:r>
        <w:rPr>
          <w:sz w:val="22"/>
        </w:rPr>
        <w:t xml:space="preserve">Royalty reset;</w:t>
      </w:r>
    </w:p>
    <w:p>
      <w:pPr>
        <w:pStyle w:val="ListBullet"/>
      </w:pPr>
      <w:r>
        <w:rPr>
          <w:sz w:val="22"/>
        </w:rPr>
        <w:t xml:space="preserve">Renegotiation;</w:t>
      </w:r>
    </w:p>
    <w:p>
      <w:pPr>
        <w:pStyle w:val="ListBullet"/>
      </w:pPr>
      <w:r>
        <w:rPr>
          <w:sz w:val="22"/>
        </w:rPr>
        <w:t xml:space="preserve">License conversion;</w:t>
      </w:r>
    </w:p>
    <w:p>
      <w:pPr>
        <w:pStyle w:val="ListBullet"/>
      </w:pPr>
      <w:r>
        <w:rPr>
          <w:sz w:val="22"/>
        </w:rPr>
        <w:t xml:space="preserve">Transition services;</w:t>
      </w:r>
    </w:p>
    <w:p>
      <w:pPr>
        <w:pStyle w:val="ListBullet"/>
      </w:pPr>
      <w:r>
        <w:rPr>
          <w:sz w:val="22"/>
        </w:rPr>
        <w:t xml:space="preserve">Coverage or run-off rights; or</w:t>
      </w:r>
    </w:p>
    <w:p>
      <w:pPr>
        <w:pStyle w:val="ListBullet"/>
      </w:pPr>
      <w:r>
        <w:rPr>
          <w:sz w:val="22"/>
        </w:rPr>
        <w:t xml:space="preserve">Damages specifically tied to a Change of Control.</w:t>
      </w:r>
    </w:p>
    <w:p>
      <w:pPr/>
      <w:r>
        <w:rPr>
          <w:sz w:val="22"/>
        </w:rPr>
        <w:t xml:space="preserve">### E. Other Remedies</w:t>
      </w:r>
    </w:p>
    <w:p>
      <w:pPr/>
      <w:r>
        <w:rPr>
          <w:sz w:val="22"/>
        </w:rPr>
        <w:t xml:space="preserve">The Agreement preserves general contractual remedies, including:</w:t>
      </w:r>
    </w:p>
    <w:p>
      <w:pPr>
        <w:pStyle w:val="ListBullet"/>
      </w:pPr>
      <w:r>
        <w:rPr>
          <w:sz w:val="22"/>
        </w:rPr>
        <w:t xml:space="preserve">Arbitration after the required negotiation period under Section 11.2;</w:t>
      </w:r>
    </w:p>
    <w:p>
      <w:pPr>
        <w:pStyle w:val="ListBullet"/>
      </w:pPr>
      <w:r>
        <w:rPr>
          <w:sz w:val="22"/>
        </w:rPr>
        <w:t xml:space="preserve">Injunctive or equitable relief for irreparable harm under Section 11.3;</w:t>
      </w:r>
    </w:p>
    <w:p>
      <w:pPr>
        <w:pStyle w:val="ListBullet"/>
      </w:pPr>
      <w:r>
        <w:rPr>
          <w:sz w:val="22"/>
        </w:rPr>
        <w:t xml:space="preserve">Recovery of accrued payment obligations; and</w:t>
      </w:r>
    </w:p>
    <w:p>
      <w:pPr>
        <w:pStyle w:val="ListBullet"/>
      </w:pPr>
      <w:r>
        <w:rPr>
          <w:sz w:val="22"/>
        </w:rPr>
        <w:t xml:space="preserve">Contractual indemnification and liability provisions.</w:t>
      </w:r>
    </w:p>
    <w:p>
      <w:pPr/>
      <w:r>
        <w:rPr>
          <w:sz w:val="22"/>
        </w:rPr>
        <w:t xml:space="preserve">The Agreement does not state that a Change of Control itself gives rise to damages. Instead, Section 9.1 gives Licensor a termination right.</w:t>
      </w:r>
    </w:p>
    <w:p>
      <w:pPr/>
      <w:r>
        <w:rPr>
          <w:sz w:val="22"/>
        </w:rPr>
        <w:t xml:space="preserve">---</w:t>
      </w:r>
    </w:p>
    <w:p>
      <w:pPr>
        <w:pStyle w:val="Heading2"/>
      </w:pPr>
      <w:r>
        <w:rPr>
          <w:sz w:val="22"/>
        </w:rPr>
        <w:t xml:space="preserve">Contract-Specific Risk Conclusion</w:t>
      </w:r>
    </w:p>
    <w:p>
      <w:pPr/>
      <w:r>
        <w:rPr>
          <w:sz w:val="22"/>
        </w:rPr>
        <w:t xml:space="preserve">The Hendricks License Agreement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4. Hesse Employment Agreement</w:t>
      </w:r>
    </w:p>
    <w:p>
      <w:pPr/>
      <w:r>
        <w:rPr>
          <w:sz w:val="22"/>
        </w:rPr>
        <w:t xml:space="preserve">Source file: hesse-employment-agreement.docx.txt</w:t>
      </w:r>
    </w:p>
    <w:p>
      <w:pPr/>
      <w:r>
        <w:rPr>
          <w:sz w:val="22"/>
        </w:rPr>
        <w:t xml:space="preserve">Risk rating: High</w:t>
      </w:r>
    </w:p>
    <w:p>
      <w:pPr>
        <w:pStyle w:val="Heading2"/>
      </w:pPr>
      <w:r>
        <w:rPr>
          <w:sz w:val="22"/>
        </w:rPr>
        <w:t xml:space="preserve">4. Notice requirements</w:t>
      </w:r>
    </w:p>
    <w:p>
      <w:pPr/>
      <w:r>
        <w:rPr>
          <w:sz w:val="22"/>
        </w:rPr>
        <w:t xml:space="preserve">### Change-of-Control notice — §5.1</w:t>
      </w:r>
    </w:p>
    <w:p>
      <w:pPr/>
      <w:r>
        <w:rPr>
          <w:sz w:val="22"/>
        </w:rPr>
        <w:t xml:space="preserve">The Company must provide Executive with:</w:t>
      </w:r>
    </w:p>
    <w:p>
      <w:pPr>
        <w:pStyle w:val="ListBullet"/>
      </w:pPr>
      <w:r>
        <w:rPr>
          <w:sz w:val="22"/>
        </w:rPr>
        <w:t xml:space="preserve">Notice: Written notice;</w:t>
      </w:r>
    </w:p>
    <w:p>
      <w:pPr>
        <w:pStyle w:val="ListBullet"/>
      </w:pPr>
      <w:r>
        <w:rPr>
          <w:sz w:val="22"/>
        </w:rPr>
        <w:t xml:space="preserve">Timing: No later than 15 business days before the expected consummation of an anticipated Change of Control;</w:t>
      </w:r>
    </w:p>
    <w:p>
      <w:pPr>
        <w:pStyle w:val="ListBullet"/>
      </w:pPr>
      <w:r>
        <w:rPr>
          <w:sz w:val="22"/>
        </w:rPr>
        <w:t xml:space="preserve">Recipient: Dr. Miriam Hesse;</w:t>
      </w:r>
    </w:p>
    <w:p>
      <w:pPr>
        <w:pStyle w:val="ListBullet"/>
      </w:pPr>
      <w:r>
        <w:rPr>
          <w:sz w:val="22"/>
        </w:rPr>
        <w:t xml:space="preserve">Required content: A description “in reasonable detail” of the nature of the transaction giving rise to the Change of Control.</w:t>
      </w:r>
    </w:p>
    <w:p>
      <w:pPr/>
      <w:r>
        <w:rPr>
          <w:sz w:val="22"/>
        </w:rPr>
        <w:t xml:space="preserve">The provision applies to an “anticipated” Change of Control. It does not expressly state a separate deadline for notice after an unexpected or already consummated Change of Control.</w:t>
      </w:r>
    </w:p>
    <w:p>
      <w:pPr/>
      <w:r>
        <w:rPr>
          <w:sz w:val="22"/>
        </w:rPr>
        <w:t xml:space="preserve">### Delivery mechanics — §8.7</w:t>
      </w:r>
    </w:p>
    <w:p>
      <w:pPr/>
      <w:r>
        <w:rPr>
          <w:sz w:val="22"/>
        </w:rPr>
        <w:t xml:space="preserve">Notices must be in writing and may be delivered by:</w:t>
      </w:r>
    </w:p>
    <w:p>
      <w:pPr>
        <w:pStyle w:val="ListBullet"/>
      </w:pPr>
      <w:r>
        <w:rPr>
          <w:sz w:val="22"/>
        </w:rPr>
        <w:t xml:space="preserve">Personal delivery;</w:t>
      </w:r>
    </w:p>
    <w:p>
      <w:pPr>
        <w:pStyle w:val="ListBullet"/>
      </w:pPr>
      <w:r>
        <w:rPr>
          <w:sz w:val="22"/>
        </w:rPr>
        <w:t xml:space="preserve">Nationally recognized overnight courier, effective one business day after deposit; or</w:t>
      </w:r>
    </w:p>
    <w:p>
      <w:pPr>
        <w:pStyle w:val="ListBullet"/>
      </w:pPr>
      <w:r>
        <w:rPr>
          <w:sz w:val="22"/>
        </w:rPr>
        <w:t xml:space="preserve">Certified mail, return receipt requested, postage prepaid, effective three business days after mailing.</w:t>
      </w:r>
    </w:p>
    <w:p>
      <w:pPr/>
      <w:r>
        <w:rPr>
          <w:sz w:val="22"/>
        </w:rPr>
        <w:t xml:space="preserve">Notice to Executive is directed to the address on file with Human Resources. Notice to the Company is directed to:</w:t>
      </w:r>
    </w:p>
    <w:p>
      <w:pPr/>
      <w:r>
        <w:rPr>
          <w:sz w:val="22"/>
        </w:rPr>
        <w:t xml:space="preserve">Apex Industrial Technologies, Inc.   4200 Crescent Ridge Parkway, Suite 600   Cincinnati, OH 45202   Attention: General Counsel, Robert Fenn</w:t>
      </w:r>
    </w:p>
    <w:p>
      <w:pPr/>
      <w:r>
        <w:rPr>
          <w:sz w:val="22"/>
        </w:rPr>
        <w:t xml:space="preserve">No additional notice, filing, election, or consent notice is specified as a condition to the automatic equity acceleration under §5.4.</w:t>
      </w:r>
    </w:p>
    <w:p>
      <w:pPr/>
      <w:r>
        <w:rPr>
          <w:sz w:val="22"/>
        </w:rPr>
        <w:t xml:space="preserve">---</w:t>
      </w:r>
    </w:p>
    <w:p>
      <w:pPr>
        <w:pStyle w:val="Heading2"/>
      </w:pPr>
      <w:r>
        <w:rPr>
          <w:sz w:val="22"/>
        </w:rPr>
        <w:t xml:space="preserve">6. Assignment, transfer, successor, affiliate, and permitted-transfer restrictions</w:t>
      </w:r>
    </w:p>
    <w:p>
      <w:pPr/>
      <w:r>
        <w:rPr>
          <w:sz w:val="22"/>
        </w:rPr>
        <w:t xml:space="preserve">### Executive transfer restriction — §8.3</w:t>
      </w:r>
    </w:p>
    <w:p>
      <w:pPr/>
      <w:r>
        <w:rPr>
          <w:sz w:val="22"/>
        </w:rPr>
        <w:t xml:space="preserve">Executive may not assign, delegate, or otherwise transfer the Agreement or her rights or obligations without the Company’s prior written consent.</w:t>
      </w:r>
    </w:p>
    <w:p>
      <w:pPr/>
      <w:r>
        <w:rPr>
          <w:sz w:val="22"/>
        </w:rPr>
        <w:t xml:space="preserve">This is primarily a restriction on Executive’s transfer of her contractual rights and duties. It does not expressly give Executive a right to prevent an acquisition of the Company.</w:t>
      </w:r>
    </w:p>
    <w:p>
      <w:pPr/>
      <w:r>
        <w:rPr>
          <w:sz w:val="22"/>
        </w:rPr>
        <w:t xml:space="preserve">### Company assignment and successor provision — §8.3</w:t>
      </w:r>
    </w:p>
    <w:p>
      <w:pPr/>
      <w:r>
        <w:rPr>
          <w:sz w:val="22"/>
        </w:rPr>
        <w:t xml:space="preserve">The Company may assign the Agreement to:</w:t>
      </w:r>
    </w:p>
    <w:p>
      <w:pPr>
        <w:pStyle w:val="ListBullet"/>
      </w:pPr>
      <w:r>
        <w:rPr>
          <w:sz w:val="22"/>
        </w:rPr>
        <w:t xml:space="preserve">Any successor in interest to all or substantially all of the Company’s business or assets;</w:t>
      </w:r>
    </w:p>
    <w:p>
      <w:pPr>
        <w:pStyle w:val="ListBullet"/>
      </w:pPr>
      <w:r>
        <w:rPr>
          <w:sz w:val="22"/>
        </w:rPr>
        <w:t xml:space="preserve">By merger, consolidation, sale of assets, or otherwise;</w:t>
      </w:r>
    </w:p>
    <w:p>
      <w:pPr/>
      <w:r>
        <w:rPr>
          <w:sz w:val="22"/>
        </w:rPr>
        <w:t xml:space="preserve">provided that the successor expressly assumes and agrees to perform the Company’s obligations.</w:t>
      </w:r>
    </w:p>
    <w:p>
      <w:pPr/>
      <w:r>
        <w:rPr>
          <w:sz w:val="22"/>
        </w:rPr>
        <w:t xml:space="preserve">The Agreement binds and benefits the parties and their heirs, executors, administrators, successors, and permitted assigns.</w:t>
      </w:r>
    </w:p>
    <w:p>
      <w:pPr/>
      <w:r>
        <w:rPr>
          <w:sz w:val="22"/>
        </w:rPr>
        <w:t xml:space="preserve">### Affiliate provisions</w:t>
      </w:r>
    </w:p>
    <w:p>
      <w:pPr/>
      <w:r>
        <w:rPr>
          <w:sz w:val="22"/>
        </w:rPr>
        <w:t xml:space="preserve">“Affiliate” includes entities directly or indirectly controlling, controlled by, or under common control with the Company. Certain employment and severance provisions refer to the Company or its Affiliates, including the release requirement and restrictive covenants.</w:t>
      </w:r>
    </w:p>
    <w:p>
      <w:pPr/>
      <w:r>
        <w:rPr>
          <w:sz w:val="22"/>
        </w:rPr>
        <w:t xml:space="preserve">The text does not expressly state that an assignment to an Affiliate is automatically permitted, except to the extent the Affiliate qualifies as a successor or permitted assignee under §8.3.</w:t>
      </w:r>
    </w:p>
    <w:p>
      <w:pPr/>
      <w:r>
        <w:rPr>
          <w:sz w:val="22"/>
        </w:rPr>
        <w:t xml:space="preserve">---</w:t>
      </w:r>
    </w:p>
    <w:p>
      <w:pPr>
        <w:pStyle w:val="Heading2"/>
      </w:pPr>
      <w:r>
        <w:rPr>
          <w:sz w:val="22"/>
        </w:rPr>
        <w:t xml:space="preserve">7. Consequences of a Change of Control</w:t>
      </w:r>
    </w:p>
    <w:p>
      <w:pPr/>
      <w:r>
        <w:rPr>
          <w:sz w:val="22"/>
        </w:rPr>
        <w:t xml:space="preserve">### A. Automatic single-trigger equity acceleration — §5.4</w:t>
      </w:r>
    </w:p>
    <w:p>
      <w:pPr/>
      <w:r>
        <w:rPr>
          <w:sz w:val="22"/>
        </w:rPr>
        <w:t xml:space="preserve">Upon consummation of a Change of Control:</w:t>
      </w:r>
    </w:p>
    <w:p>
      <w:pPr>
        <w:pStyle w:val="ListBullet"/>
      </w:pPr>
      <w:r>
        <w:rPr>
          <w:sz w:val="22"/>
        </w:rPr>
        <w:t xml:space="preserve">All of Executive’s then-unvested Equity Awards immediately and automatically vest;</w:t>
      </w:r>
    </w:p>
    <w:p>
      <w:pPr>
        <w:pStyle w:val="ListBullet"/>
      </w:pPr>
      <w:r>
        <w:rPr>
          <w:sz w:val="22"/>
        </w:rPr>
        <w:t xml:space="preserve">Awards become exercisable in full to the extent applicable;</w:t>
      </w:r>
    </w:p>
    <w:p>
      <w:pPr>
        <w:pStyle w:val="ListBullet"/>
      </w:pPr>
      <w:r>
        <w:rPr>
          <w:sz w:val="22"/>
        </w:rPr>
        <w:t xml:space="preserve">No termination of employment is required;</w:t>
      </w:r>
    </w:p>
    <w:p>
      <w:pPr>
        <w:pStyle w:val="ListBullet"/>
      </w:pPr>
      <w:r>
        <w:rPr>
          <w:sz w:val="22"/>
        </w:rPr>
        <w:t xml:space="preserve">No other condition or contingency is required;</w:t>
      </w:r>
    </w:p>
    <w:p>
      <w:pPr>
        <w:pStyle w:val="ListBullet"/>
      </w:pPr>
      <w:r>
        <w:rPr>
          <w:sz w:val="22"/>
        </w:rPr>
        <w:t xml:space="preserve">The provision supersedes contrary terms in individual award agreements or equity incentive plans.</w:t>
      </w:r>
    </w:p>
    <w:p>
      <w:pPr/>
      <w:r>
        <w:rPr>
          <w:sz w:val="22"/>
        </w:rPr>
        <w:t xml:space="preserve">This is a direct, automatic closing consequence.</w:t>
      </w:r>
    </w:p>
    <w:p>
      <w:pPr/>
      <w:r>
        <w:rPr>
          <w:sz w:val="22"/>
        </w:rPr>
        <w:t xml:space="preserve">The Side Letter states that, as of March 14, 2025, Executive held 45,000 unvested RSUs. It states that:</w:t>
      </w:r>
    </w:p>
    <w:p>
      <w:pPr>
        <w:pStyle w:val="ListBullet"/>
      </w:pPr>
      <w:r>
        <w:rPr>
          <w:sz w:val="22"/>
        </w:rPr>
        <w:t xml:space="preserve">Under the proposed rollover treatment, those RSUs would convert into approximately 14,139 Parent RSUs, subject to the existing vesting schedule; but</w:t>
      </w:r>
    </w:p>
    <w:p>
      <w:pPr>
        <w:pStyle w:val="ListBullet"/>
      </w:pPr>
      <w:r>
        <w:rPr>
          <w:sz w:val="22"/>
        </w:rPr>
        <w:t xml:space="preserve">If §5.4 applies, the 45,000 Company RSUs would vest immediately and be converted into the right to receive the merger consideration, with an estimated value of approximately $967,230 based on the assumptions stated in the Side Letter.</w:t>
      </w:r>
    </w:p>
    <w:p>
      <w:pPr/>
      <w:r>
        <w:rPr>
          <w:sz w:val="22"/>
        </w:rPr>
        <w:t xml:space="preserve">Those amounts are stated in the Side Letter and are not independently verified by the contract text.</w:t>
      </w:r>
    </w:p>
    <w:p>
      <w:pPr/>
      <w:r>
        <w:rPr>
          <w:sz w:val="22"/>
        </w:rPr>
        <w:t xml:space="preserve">### B. Change-of-Control severance — §5.3</w:t>
      </w:r>
    </w:p>
    <w:p>
      <w:pPr/>
      <w:r>
        <w:rPr>
          <w:sz w:val="22"/>
        </w:rPr>
        <w:t xml:space="preserve">A “Qualifying Termination” occurs if, within the 24-month period after consummation of a Change of Control:</w:t>
      </w:r>
    </w:p>
    <w:p>
      <w:pPr>
        <w:pStyle w:val="ListBullet"/>
      </w:pPr>
      <w:r>
        <w:rPr>
          <w:sz w:val="22"/>
        </w:rPr>
        <w:t xml:space="preserve">The Company or any successor terminates Executive without Cause; or</w:t>
      </w:r>
    </w:p>
    <w:p>
      <w:pPr>
        <w:pStyle w:val="ListBullet"/>
      </w:pPr>
      <w:r>
        <w:rPr>
          <w:sz w:val="22"/>
        </w:rPr>
        <w:t xml:space="preserve">Executive terminates employment for Good Reason.</w:t>
      </w:r>
    </w:p>
    <w:p>
      <w:pPr/>
      <w:r>
        <w:rPr>
          <w:sz w:val="22"/>
        </w:rPr>
        <w:t xml:space="preserve">Upon a Qualifying Termination, Executive receives:</w:t>
      </w:r>
    </w:p>
    <w:p>
      <w:pPr/>
      <w:r>
        <w:rPr>
          <w:sz w:val="22"/>
        </w:rPr>
        <w:t xml:space="preserve">1. Cash severance: Two times Base Salary plus Target Bonus:    - $385,000 Base Salary;    - $231,000 Target Bonus;    - Total stated severance: $1,232,000.</w:t>
      </w:r>
    </w:p>
    <w:p>
      <w:pPr/>
      <w:r>
        <w:rPr>
          <w:sz w:val="22"/>
        </w:rPr>
        <w:t xml:space="preserve">2. Health coverage: Company-paid group health coverage for 24 months, or, if continuation under the plans is not permissible, a monthly cash payment equal to the applicable COBRA premium.</w:t>
      </w:r>
    </w:p>
    <w:p>
      <w:pPr/>
      <w:r>
        <w:rPr>
          <w:sz w:val="22"/>
        </w:rPr>
        <w:t xml:space="preserve">3. Pro rata bonus: Pro rata annual bonus for the fiscal year of termination, based on actual Company performance, payable when bonuses are paid to other senior executives.</w:t>
      </w:r>
    </w:p>
    <w:p>
      <w:pPr/>
      <w:r>
        <w:rPr>
          <w:sz w:val="22"/>
        </w:rPr>
        <w:t xml:space="preserve">4. Additional equity acceleration: All then-unvested Equity Awards immediately vest and become exercisable to the extent applicable, unless already accelerated under §5.4.</w:t>
      </w:r>
    </w:p>
    <w:p>
      <w:pPr/>
      <w:r>
        <w:rPr>
          <w:sz w:val="22"/>
        </w:rPr>
        <w:t xml:space="preserve">### C. Employment status — §5.2</w:t>
      </w:r>
    </w:p>
    <w:p>
      <w:pPr/>
      <w:r>
        <w:rPr>
          <w:sz w:val="22"/>
        </w:rPr>
        <w:t xml:space="preserve">The Agreement expressly provides that:</w:t>
      </w:r>
    </w:p>
    <w:p>
      <w:pPr/>
      <w:r>
        <w:rPr>
          <w:sz w:val="22"/>
        </w:rPr>
        <w:t xml:space="preserve">“Nothing in this Section 5 shall be construed to guarantee Executive’s continued employment following a Change of Control.”</w:t>
      </w:r>
    </w:p>
    <w:p>
      <w:pPr/>
      <w:r>
        <w:rPr>
          <w:sz w:val="22"/>
        </w:rPr>
        <w:t xml:space="preserve">Employment remains at-will following the transaction, subject to the severance, equity acceleration, and other provisions.</w:t>
      </w:r>
    </w:p>
    <w:p>
      <w:pPr/>
      <w:r>
        <w:rPr>
          <w:sz w:val="22"/>
        </w:rPr>
        <w:t xml:space="preserve">### D. Release condition — §6.6</w:t>
      </w:r>
    </w:p>
    <w:p>
      <w:pPr/>
      <w:r>
        <w:rPr>
          <w:sz w:val="22"/>
        </w:rPr>
        <w:t xml:space="preserve">Cash severance and other benefits under §5.3, §6.2, and §6.3, other than Accrued Obligations, require Executive to:</w:t>
      </w:r>
    </w:p>
    <w:p>
      <w:pPr>
        <w:pStyle w:val="ListBullet"/>
      </w:pPr>
      <w:r>
        <w:rPr>
          <w:sz w:val="22"/>
        </w:rPr>
        <w:t xml:space="preserve">Execute and not revoke a general release;</w:t>
      </w:r>
    </w:p>
    <w:p>
      <w:pPr>
        <w:pStyle w:val="ListBullet"/>
      </w:pPr>
      <w:r>
        <w:rPr>
          <w:sz w:val="22"/>
        </w:rPr>
        <w:t xml:space="preserve">Within 60 days after termination;</w:t>
      </w:r>
    </w:p>
    <w:p>
      <w:pPr>
        <w:pStyle w:val="ListBullet"/>
      </w:pPr>
      <w:r>
        <w:rPr>
          <w:sz w:val="22"/>
        </w:rPr>
        <w:t xml:space="preserve">In a form reasonably satisfactory to the Company.</w:t>
      </w:r>
    </w:p>
    <w:p>
      <w:pPr/>
      <w:r>
        <w:rPr>
          <w:sz w:val="22"/>
        </w:rPr>
        <w:t xml:space="preserve">The automatic equity acceleration under §5.4 is expressly not conditioned on signing a release.</w:t>
      </w:r>
    </w:p>
    <w:p>
      <w:pPr/>
      <w:r>
        <w:rPr>
          <w:sz w:val="22"/>
        </w:rPr>
        <w:t xml:space="preserve">### E. No duplication — §5.6</w:t>
      </w:r>
    </w:p>
    <w:p>
      <w:pPr/>
      <w:r>
        <w:rPr>
          <w:sz w:val="22"/>
        </w:rPr>
        <w:t xml:space="preserve">Change-of-Control severance under §5.3 replaces the severance otherwise payable under §§6.2 or 6.3. Equity accelerated under §5.4 is not accelerated again under §5.3(d).</w:t>
      </w:r>
    </w:p>
    <w:p>
      <w:pPr/>
      <w:r>
        <w:rPr>
          <w:sz w:val="22"/>
        </w:rPr>
        <w:t xml:space="preserve">### F. Section 280G limitation — §5.5</w:t>
      </w:r>
    </w:p>
    <w:p>
      <w:pPr/>
      <w:r>
        <w:rPr>
          <w:sz w:val="22"/>
        </w:rPr>
        <w:t xml:space="preserve">If payments would constitute excess parachute payments under Internal Revenue Code §280G, payments may be reduced to the extent necessary to avoid the excess parachute payment, but only if the after-tax result is more favorable to Executive.</w:t>
      </w:r>
    </w:p>
    <w:p>
      <w:pPr/>
      <w:r>
        <w:rPr>
          <w:sz w:val="22"/>
        </w:rPr>
        <w:t xml:space="preserve">The reduction order is:</w:t>
      </w:r>
    </w:p>
    <w:p>
      <w:pPr/>
      <w:r>
        <w:rPr>
          <w:sz w:val="22"/>
        </w:rPr>
        <w:t xml:space="preserve">1. Cash severance; 2. Other cash payments or benefits; 3. Equity award acceleration.</w:t>
      </w:r>
    </w:p>
    <w:p>
      <w:pPr/>
      <w:r>
        <w:rPr>
          <w:sz w:val="22"/>
        </w:rPr>
        <w:t xml:space="preserve">### G. Other remedies and consequences</w:t>
      </w:r>
    </w:p>
    <w:p>
      <w:pPr/>
      <w:r>
        <w:rPr>
          <w:sz w:val="22"/>
        </w:rPr>
        <w:t xml:space="preserve">The contract does not provide for:</w:t>
      </w:r>
    </w:p>
    <w:p>
      <w:pPr>
        <w:pStyle w:val="ListBullet"/>
      </w:pPr>
      <w:r>
        <w:rPr>
          <w:sz w:val="22"/>
        </w:rPr>
        <w:t xml:space="preserve">A buy-out right;</w:t>
      </w:r>
    </w:p>
    <w:p>
      <w:pPr>
        <w:pStyle w:val="ListBullet"/>
      </w:pPr>
      <w:r>
        <w:rPr>
          <w:sz w:val="22"/>
        </w:rPr>
        <w:t xml:space="preserve">A put or call right;</w:t>
      </w:r>
    </w:p>
    <w:p>
      <w:pPr>
        <w:pStyle w:val="ListBullet"/>
      </w:pPr>
      <w:r>
        <w:rPr>
          <w:sz w:val="22"/>
        </w:rPr>
        <w:t xml:space="preserve">Tag-along or drag-along rights;</w:t>
      </w:r>
    </w:p>
    <w:p>
      <w:pPr>
        <w:pStyle w:val="ListBullet"/>
      </w:pPr>
      <w:r>
        <w:rPr>
          <w:sz w:val="22"/>
        </w:rPr>
        <w:t xml:space="preserve">A pricing adjustment for the acquisition;</w:t>
      </w:r>
    </w:p>
    <w:p>
      <w:pPr>
        <w:pStyle w:val="ListBullet"/>
      </w:pPr>
      <w:r>
        <w:rPr>
          <w:sz w:val="22"/>
        </w:rPr>
        <w:t xml:space="preserve">A mandatory renegotiation of employment terms;</w:t>
      </w:r>
    </w:p>
    <w:p>
      <w:pPr>
        <w:pStyle w:val="ListBullet"/>
      </w:pPr>
      <w:r>
        <w:rPr>
          <w:sz w:val="22"/>
        </w:rPr>
        <w:t xml:space="preserve">A termination right held by Executive solely because of a Change of Control;</w:t>
      </w:r>
    </w:p>
    <w:p>
      <w:pPr>
        <w:pStyle w:val="ListBullet"/>
      </w:pPr>
      <w:r>
        <w:rPr>
          <w:sz w:val="22"/>
        </w:rPr>
        <w:t xml:space="preserve">Damages or a termination fee payable by the Company solely because of a Change of Control.</w:t>
      </w:r>
    </w:p>
    <w:p>
      <w:pPr/>
      <w:r>
        <w:rPr>
          <w:sz w:val="22"/>
        </w:rPr>
        <w:t xml:space="preserve">Separate post-termination restrictive covenants and injunctive remedies apply under §7, but they are not triggered solely by a Change of Control.</w:t>
      </w:r>
    </w:p>
    <w:p>
      <w:pPr/>
      <w:r>
        <w:rPr>
          <w:sz w:val="22"/>
        </w:rPr>
        <w:t xml:space="preserve">---</w:t>
      </w:r>
    </w:p>
    <w:p>
      <w:pPr>
        <w:pStyle w:val="Heading2"/>
      </w:pPr>
      <w:r>
        <w:rPr>
          <w:sz w:val="22"/>
        </w:rPr>
        <w:t xml:space="preserve">Contract-Specific Risk Conclusion</w:t>
      </w:r>
    </w:p>
    <w:p>
      <w:pPr/>
      <w:r>
        <w:rPr>
          <w:sz w:val="22"/>
        </w:rPr>
        <w:t xml:space="preserve">The Hesse Employment Agreement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5. Hq Lease Crescent Ridge</w:t>
      </w:r>
    </w:p>
    <w:p>
      <w:pPr/>
      <w:r>
        <w:rPr>
          <w:sz w:val="22"/>
        </w:rPr>
        <w:t xml:space="preserve">Source file: hq-lease-crescent-ridge.docx.txt</w:t>
      </w:r>
    </w:p>
    <w:p>
      <w:pPr/>
      <w:r>
        <w:rPr>
          <w:sz w:val="22"/>
        </w:rPr>
        <w:t xml:space="preserve">Risk rating: High</w:t>
      </w:r>
    </w:p>
    <w:p>
      <w:pPr>
        <w:pStyle w:val="Heading2"/>
      </w:pPr>
      <w:r>
        <w:rPr>
          <w:sz w:val="22"/>
        </w:rPr>
        <w:t xml:space="preserve">Contract-Specific Risk Conclusion</w:t>
      </w:r>
    </w:p>
    <w:p>
      <w:pPr/>
      <w:r>
        <w:rPr>
          <w:sz w:val="22"/>
        </w:rPr>
        <w:t xml:space="preserve">The Hq Lease Crescent Ridge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6. Northland Refining Msa</w:t>
      </w:r>
    </w:p>
    <w:p>
      <w:pPr/>
      <w:r>
        <w:rPr>
          <w:sz w:val="22"/>
        </w:rPr>
        <w:t xml:space="preserve">Source file: northland-refining-msa.docx.txt</w:t>
      </w:r>
    </w:p>
    <w:p>
      <w:pPr/>
      <w:r>
        <w:rPr>
          <w:sz w:val="22"/>
        </w:rPr>
        <w:t xml:space="preserve">Risk rating: Medium</w:t>
      </w:r>
    </w:p>
    <w:p>
      <w:pPr>
        <w:pStyle w:val="Heading2"/>
      </w:pPr>
      <w:r>
        <w:rPr>
          <w:sz w:val="22"/>
        </w:rPr>
        <w:t xml:space="preserve">4. Notice requirements</w:t>
      </w:r>
    </w:p>
    <w:p>
      <w:pPr/>
      <w:r>
        <w:rPr>
          <w:sz w:val="22"/>
        </w:rPr>
        <w:t xml:space="preserve">### A. Change-of-control notice</w:t>
      </w:r>
    </w:p>
    <w:p>
      <w:pPr/>
      <w:r>
        <w:rPr>
          <w:sz w:val="22"/>
        </w:rPr>
        <w:t xml:space="preserve">There is no express notice requirement for a change of control because the Agreement contains no change-of-control provision.</w:t>
      </w:r>
    </w:p>
    <w:p>
      <w:pPr/>
      <w:r>
        <w:rPr>
          <w:sz w:val="22"/>
        </w:rPr>
        <w:t xml:space="preserve">### B. Assignment to an Affiliate</w:t>
      </w:r>
    </w:p>
    <w:p>
      <w:pPr/>
      <w:r>
        <w:rPr>
          <w:sz w:val="22"/>
        </w:rPr>
        <w:t xml:space="preserve">Under the exception in Section 14.2, a Party may assign the Agreement to its Affiliate without the other Party’s consent, provided that:</w:t>
      </w:r>
    </w:p>
    <w:p>
      <w:pPr/>
      <w:r>
        <w:rPr>
          <w:sz w:val="22"/>
        </w:rPr>
        <w:t xml:space="preserve">1. the assigning Party gives written notice to the other Party within 30 days of the assignment; and   2. the assigning Party remains jointly and severally liable for all obligations of the assignee.</w:t>
      </w:r>
    </w:p>
    <w:p>
      <w:pPr/>
      <w:r>
        <w:rPr>
          <w:sz w:val="22"/>
        </w:rPr>
        <w:t xml:space="preserve">The Agreement does not specify detailed content for this assignment notice. At minimum, the notice should identify the assignment, the assignee, the effective date, and the basis for Affiliate status; those content elements are diligence recommendations rather than express contractual requirements.</w:t>
      </w:r>
    </w:p>
    <w:p>
      <w:pPr/>
      <w:r>
        <w:rPr>
          <w:sz w:val="22"/>
        </w:rPr>
        <w:t xml:space="preserve">### C. General notice mechanics</w:t>
      </w:r>
    </w:p>
    <w:p>
      <w:pPr/>
      <w:r>
        <w:rPr>
          <w:sz w:val="22"/>
        </w:rPr>
        <w:t xml:space="preserve">Under Section 16.1, notices, requests, demands, consents, and other communications must be in writing and may be delivered by:</w:t>
      </w:r>
    </w:p>
    <w:p>
      <w:pPr>
        <w:pStyle w:val="ListBullet"/>
      </w:pPr>
      <w:r>
        <w:rPr>
          <w:sz w:val="22"/>
        </w:rPr>
        <w:t xml:space="preserve">personal delivery;</w:t>
      </w:r>
    </w:p>
    <w:p>
      <w:pPr>
        <w:pStyle w:val="ListBullet"/>
      </w:pPr>
      <w:r>
        <w:rPr>
          <w:sz w:val="22"/>
        </w:rPr>
        <w:t xml:space="preserve">nationally recognized overnight courier with tracking confirmation;</w:t>
      </w:r>
    </w:p>
    <w:p>
      <w:pPr>
        <w:pStyle w:val="ListBullet"/>
      </w:pPr>
      <w:r>
        <w:rPr>
          <w:sz w:val="22"/>
        </w:rPr>
        <w:t xml:space="preserve">certified or registered mail, return receipt requested, postage prepaid; or</w:t>
      </w:r>
    </w:p>
    <w:p>
      <w:pPr>
        <w:pStyle w:val="ListBullet"/>
      </w:pPr>
      <w:r>
        <w:rPr>
          <w:sz w:val="22"/>
        </w:rPr>
        <w:t xml:space="preserve">email with confirmation of receipt from the recipient.</w:t>
      </w:r>
    </w:p>
    <w:p>
      <w:pPr/>
      <w:r>
        <w:rPr>
          <w:sz w:val="22"/>
        </w:rPr>
        <w:t xml:space="preserve">Notice recipients and addresses are:</w:t>
      </w:r>
    </w:p>
    <w:p>
      <w:pPr>
        <w:pStyle w:val="ListBullet"/>
      </w:pPr>
      <w:r>
        <w:rPr>
          <w:sz w:val="22"/>
        </w:rPr>
        <w:t xml:space="preserve">Northland: Attn: Gerald Dwyer, Vice President, Procurement, 8500 Refinery Boulevard, Beaumont, Texas 77701; copy to General Counsel at the same address. The copy to General Counsel “shall not constitute notice.”</w:t>
      </w:r>
    </w:p>
    <w:p>
      <w:pPr>
        <w:pStyle w:val="ListBullet"/>
      </w:pPr>
      <w:r>
        <w:rPr>
          <w:sz w:val="22"/>
        </w:rPr>
        <w:t xml:space="preserve">Apex: Attn: Robert Fenn, General Counsel, 4200 Crescent Ridge Parkway, Suite 600, Cincinnati, Ohio 45202.</w:t>
      </w:r>
    </w:p>
    <w:p>
      <w:pPr/>
      <w:r>
        <w:rPr>
          <w:sz w:val="22"/>
        </w:rPr>
        <w:t xml:space="preserve">A Party may change its notice address by written notice under Section 16.1.</w:t>
      </w:r>
    </w:p>
    <w:p>
      <w:pPr/>
      <w:r>
        <w:rPr>
          <w:sz w:val="22"/>
        </w:rPr>
        <w:t xml:space="preserve">---</w:t>
      </w:r>
    </w:p>
    <w:p>
      <w:pPr>
        <w:pStyle w:val="Heading2"/>
      </w:pPr>
      <w:r>
        <w:rPr>
          <w:sz w:val="22"/>
        </w:rPr>
        <w:t xml:space="preserve">5. Consent, approval, waiver, or consultation rights</w:t>
      </w:r>
    </w:p>
    <w:p>
      <w:pPr/>
      <w:r>
        <w:rPr>
          <w:sz w:val="22"/>
        </w:rPr>
        <w:t xml:space="preserve">### A. Assignment or transfer consent</w:t>
      </w:r>
    </w:p>
    <w:p>
      <w:pPr/>
      <w:r>
        <w:rPr>
          <w:sz w:val="22"/>
        </w:rPr>
        <w:t xml:space="preserve">Under Section 14.2:</w:t>
      </w:r>
    </w:p>
    <w:p>
      <w:pPr/>
      <w:r>
        <w:rPr>
          <w:sz w:val="22"/>
        </w:rPr>
        <w:t xml:space="preserve">“Neither Party shall assign, transfer, or delegate this Agreement or any of its rights, interests, or obligations hereunder, in whole or in part, whether by operation of law or otherwise, without the prior written consent of the other Party.”</w:t>
      </w:r>
    </w:p>
    <w:p>
      <w:pPr/>
      <w:r>
        <w:rPr>
          <w:sz w:val="22"/>
        </w:rPr>
        <w:t xml:space="preserve">The other Party’s consent:</w:t>
      </w:r>
    </w:p>
    <w:p>
      <w:pPr/>
      <w:r>
        <w:rPr>
          <w:sz w:val="22"/>
        </w:rPr>
        <w:t xml:space="preserve">“may be withheld in such Party’s sole and absolute discretion.”</w:t>
      </w:r>
    </w:p>
    <w:p>
      <w:pPr/>
      <w:r>
        <w:rPr>
          <w:sz w:val="22"/>
        </w:rPr>
        <w:t xml:space="preserve">Therefore:</w:t>
      </w:r>
    </w:p>
    <w:p>
      <w:pPr>
        <w:pStyle w:val="ListBullet"/>
      </w:pPr>
      <w:r>
        <w:rPr>
          <w:sz w:val="22"/>
        </w:rPr>
        <w:t xml:space="preserve">consent is required before a non-permitted assignment, transfer, or delegation;</w:t>
      </w:r>
    </w:p>
    <w:p>
      <w:pPr>
        <w:pStyle w:val="ListBullet"/>
      </w:pPr>
      <w:r>
        <w:rPr>
          <w:sz w:val="22"/>
        </w:rPr>
        <w:t xml:space="preserve">the counterparty may withhold consent for any reason;</w:t>
      </w:r>
    </w:p>
    <w:p>
      <w:pPr>
        <w:pStyle w:val="ListBullet"/>
      </w:pPr>
      <w:r>
        <w:rPr>
          <w:sz w:val="22"/>
        </w:rPr>
        <w:t xml:space="preserve">there is no reasonableness standard;</w:t>
      </w:r>
    </w:p>
    <w:p>
      <w:pPr>
        <w:pStyle w:val="ListBullet"/>
      </w:pPr>
      <w:r>
        <w:rPr>
          <w:sz w:val="22"/>
        </w:rPr>
        <w:t xml:space="preserve">there is no response deadline; and</w:t>
      </w:r>
    </w:p>
    <w:p>
      <w:pPr>
        <w:pStyle w:val="ListBullet"/>
      </w:pPr>
      <w:r>
        <w:rPr>
          <w:sz w:val="22"/>
        </w:rPr>
        <w:t xml:space="preserve">there is no deemed-consent mechanism.</w:t>
      </w:r>
    </w:p>
    <w:p>
      <w:pPr/>
      <w:r>
        <w:rPr>
          <w:sz w:val="22"/>
        </w:rPr>
        <w:t xml:space="preserve">### B. Affiliate assignment exception</w:t>
      </w:r>
    </w:p>
    <w:p>
      <w:pPr/>
      <w:r>
        <w:rPr>
          <w:sz w:val="22"/>
        </w:rPr>
        <w:t xml:space="preserve">Assignment to an Affiliate does not require consent if the assigning Party:</w:t>
      </w:r>
    </w:p>
    <w:p>
      <w:pPr>
        <w:pStyle w:val="ListBullet"/>
      </w:pPr>
      <w:r>
        <w:rPr>
          <w:sz w:val="22"/>
        </w:rPr>
        <w:t xml:space="preserve">provides written notice within 30 days after assignment; and</w:t>
      </w:r>
    </w:p>
    <w:p>
      <w:pPr>
        <w:pStyle w:val="ListBullet"/>
      </w:pPr>
      <w:r>
        <w:rPr>
          <w:sz w:val="22"/>
        </w:rPr>
        <w:t xml:space="preserve">remains jointly and severally liable for the assignee’s obligations.</w:t>
      </w:r>
    </w:p>
    <w:p>
      <w:pPr/>
      <w:r>
        <w:rPr>
          <w:sz w:val="22"/>
        </w:rPr>
        <w:t xml:space="preserve">The provision does not expressly require the Affiliate to assume the Agreement in writing, although that would be prudent as a transaction matter.</w:t>
      </w:r>
    </w:p>
    <w:p>
      <w:pPr/>
      <w:r>
        <w:rPr>
          <w:sz w:val="22"/>
        </w:rPr>
        <w:t xml:space="preserve">### C. Other consent or approval rights potentially relevant to an acquisition</w:t>
      </w:r>
    </w:p>
    <w:p>
      <w:pPr/>
      <w:r>
        <w:rPr>
          <w:sz w:val="22"/>
        </w:rPr>
        <w:t xml:space="preserve">These are not change-of-control rights but may become relevant after an acquisition:</w:t>
      </w:r>
    </w:p>
    <w:p>
      <w:pPr>
        <w:pStyle w:val="ListBullet"/>
      </w:pPr>
      <w:r>
        <w:rPr>
          <w:sz w:val="22"/>
        </w:rPr>
        <w:t xml:space="preserve">Section 14.1: Northland’s prior written consent is required before Apex engages a new subcontractor not listed on Exhibit C. Consent may not be unreasonably withheld, conditioned, or delayed.</w:t>
      </w:r>
    </w:p>
    <w:p>
      <w:pPr>
        <w:pStyle w:val="ListBullet"/>
      </w:pPr>
      <w:r>
        <w:rPr>
          <w:sz w:val="22"/>
        </w:rPr>
        <w:t xml:space="preserve">Section 6.1: Apex may not make material Product changes without Northland’s prior written approval.</w:t>
      </w:r>
    </w:p>
    <w:p>
      <w:pPr>
        <w:pStyle w:val="ListBullet"/>
      </w:pPr>
      <w:r>
        <w:rPr>
          <w:sz w:val="22"/>
        </w:rPr>
        <w:t xml:space="preserve">Section 6.5: Apex must obtain Northland’s prior written approval for certain manufacturing-process, raw-material, sub-supplier, or component-source changes. Approval may not be unreasonably withheld, conditioned, or delayed if the change does not adversely affect quality or performance.</w:t>
      </w:r>
    </w:p>
    <w:p>
      <w:pPr>
        <w:pStyle w:val="ListBullet"/>
      </w:pPr>
      <w:r>
        <w:rPr>
          <w:sz w:val="22"/>
        </w:rPr>
        <w:t xml:space="preserve">Section 10.3: Neither Party may settle an indemnified claim without the other Party’s prior written consent, which may not be unreasonably withheld.</w:t>
      </w:r>
    </w:p>
    <w:p>
      <w:pPr>
        <w:pStyle w:val="ListBullet"/>
      </w:pPr>
      <w:r>
        <w:rPr>
          <w:sz w:val="22"/>
        </w:rPr>
        <w:t xml:space="preserve">Section 16.3: Amendments require a writing signed by both Parties; waivers must be written and signed by the waiving Party.</w:t>
      </w:r>
    </w:p>
    <w:p>
      <w:pPr/>
      <w:r>
        <w:rPr>
          <w:sz w:val="22"/>
        </w:rPr>
        <w:t xml:space="preserve">None of these provisions is an express change-of-control consent right.</w:t>
      </w:r>
    </w:p>
    <w:p>
      <w:pPr/>
      <w:r>
        <w:rPr>
          <w:sz w:val="22"/>
        </w:rPr>
        <w:t xml:space="preserve">---</w:t>
      </w:r>
    </w:p>
    <w:p>
      <w:pPr>
        <w:pStyle w:val="Heading2"/>
      </w:pPr>
      <w:r>
        <w:rPr>
          <w:sz w:val="22"/>
        </w:rPr>
        <w:t xml:space="preserve">6. Assignment, transfer, successor, affiliate, and permitted-transfer restrictions</w:t>
      </w:r>
    </w:p>
    <w:p>
      <w:pPr/>
      <w:r>
        <w:rPr>
          <w:sz w:val="22"/>
        </w:rPr>
        <w:t xml:space="preserve">### Section 14.2 — General prohibition</w:t>
      </w:r>
    </w:p>
    <w:p>
      <w:pPr/>
      <w:r>
        <w:rPr>
          <w:sz w:val="22"/>
        </w:rPr>
        <w:t xml:space="preserve">The core restriction is:</w:t>
      </w:r>
    </w:p>
    <w:p>
      <w:pPr/>
      <w:r>
        <w:rPr>
          <w:sz w:val="22"/>
        </w:rPr>
        <w:t xml:space="preserve">“Neither Party shall assign, transfer, or delegate this Agreement or any of its rights, interests, or obligations hereunder, in whole or in part, whether by operation of law or otherwise, without the prior written consent of the other Party.”</w:t>
      </w:r>
    </w:p>
    <w:p>
      <w:pPr/>
      <w:r>
        <w:rPr>
          <w:sz w:val="22"/>
        </w:rPr>
        <w:t xml:space="preserve">A prohibited assignment, transfer, or delegation is:</w:t>
      </w:r>
    </w:p>
    <w:p>
      <w:pPr/>
      <w:r>
        <w:rPr>
          <w:sz w:val="22"/>
        </w:rPr>
        <w:t xml:space="preserve">“null and void and of no force or effect.”</w:t>
      </w:r>
    </w:p>
    <w:p>
      <w:pPr/>
      <w:r>
        <w:rPr>
          <w:sz w:val="22"/>
        </w:rPr>
        <w:t xml:space="preserve">This is a broad restriction covering rights, interests, and obligations, and it expressly includes transfers “by operation of law.”</w:t>
      </w:r>
    </w:p>
    <w:p>
      <w:pPr/>
      <w:r>
        <w:rPr>
          <w:sz w:val="22"/>
        </w:rPr>
        <w:t xml:space="preserve">### Affiliate exception</w:t>
      </w:r>
    </w:p>
    <w:p>
      <w:pPr/>
      <w:r>
        <w:rPr>
          <w:sz w:val="22"/>
        </w:rPr>
        <w:t xml:space="preserve">Either Party may assign the Agreement without consent to an Affiliate, subject to:</w:t>
      </w:r>
    </w:p>
    <w:p>
      <w:pPr>
        <w:pStyle w:val="ListBullet"/>
      </w:pPr>
      <w:r>
        <w:rPr>
          <w:sz w:val="22"/>
        </w:rPr>
        <w:t xml:space="preserve">written notice within 30 days; and</w:t>
      </w:r>
    </w:p>
    <w:p>
      <w:pPr>
        <w:pStyle w:val="ListBullet"/>
      </w:pPr>
      <w:r>
        <w:rPr>
          <w:sz w:val="22"/>
        </w:rPr>
        <w:t xml:space="preserve">continuing joint and several liability of the assigning Party.</w:t>
      </w:r>
    </w:p>
    <w:p>
      <w:pPr/>
      <w:r>
        <w:rPr>
          <w:sz w:val="22"/>
        </w:rPr>
        <w:t xml:space="preserve">Because “Affiliate” requires direct or indirect ownership of more than 50% of voting securities or equivalent ownership interests, the exception is not expressly available for a minority-owned entity or an entity controlled solely through contractual or management rights.</w:t>
      </w:r>
    </w:p>
    <w:p>
      <w:pPr/>
      <w:r>
        <w:rPr>
          <w:sz w:val="22"/>
        </w:rPr>
        <w:t xml:space="preserve">### Successors and permitted assigns</w:t>
      </w:r>
    </w:p>
    <w:p>
      <w:pPr/>
      <w:r>
        <w:rPr>
          <w:sz w:val="22"/>
        </w:rPr>
        <w:t xml:space="preserve">Under Section 14.3:</w:t>
      </w:r>
    </w:p>
    <w:p>
      <w:pPr/>
      <w:r>
        <w:rPr>
          <w:sz w:val="22"/>
        </w:rPr>
        <w:t xml:space="preserve">“Subject to the restrictions set forth in this Article 14, this Agreement shall be binding upon and inure to the benefit of the Parties and their respective successors and permitted assigns.”</w:t>
      </w:r>
    </w:p>
    <w:p>
      <w:pPr/>
      <w:r>
        <w:rPr>
          <w:sz w:val="22"/>
        </w:rPr>
        <w:t xml:space="preserve">This does not independently authorize a merger, acquisition, or transfer. It recognizes successors and permitted assigns only subject to Article 14.</w:t>
      </w:r>
    </w:p>
    <w:p>
      <w:pPr/>
      <w:r>
        <w:rPr>
          <w:sz w:val="22"/>
        </w:rPr>
        <w:t xml:space="preserve">### Subcontracting</w:t>
      </w:r>
    </w:p>
    <w:p>
      <w:pPr/>
      <w:r>
        <w:rPr>
          <w:sz w:val="22"/>
        </w:rPr>
        <w:t xml:space="preserve">Section 14.1 permits Apex to subcontract component manufacturing under specified conditions, but this is not a transfer of the Agreement and does not provide an acquisition-related exception. Apex remains fully responsible for subcontracted performance.</w:t>
      </w:r>
    </w:p>
    <w:p>
      <w:pPr/>
      <w:r>
        <w:rPr>
          <w:sz w:val="22"/>
        </w:rPr>
        <w:t xml:space="preserve">---</w:t>
      </w:r>
    </w:p>
    <w:p>
      <w:pPr>
        <w:pStyle w:val="Heading2"/>
      </w:pPr>
      <w:r>
        <w:rPr>
          <w:sz w:val="22"/>
        </w:rPr>
        <w:t xml:space="preserve">Contract-Specific Risk Conclusion</w:t>
      </w:r>
    </w:p>
    <w:p>
      <w:pPr/>
      <w:r>
        <w:rPr>
          <w:sz w:val="22"/>
        </w:rPr>
        <w:t xml:space="preserve">The Northland Refining Msa should be treated as a medium-risk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7. Pacwest Supply Agreement</w:t>
      </w:r>
    </w:p>
    <w:p>
      <w:pPr/>
      <w:r>
        <w:rPr>
          <w:sz w:val="22"/>
        </w:rPr>
        <w:t xml:space="preserve">Source file: pacwest-supply-agreement.docx.txt</w:t>
      </w:r>
    </w:p>
    <w:p>
      <w:pPr/>
      <w:r>
        <w:rPr>
          <w:sz w:val="22"/>
        </w:rPr>
        <w:t xml:space="preserve">Risk rating: High</w:t>
      </w:r>
    </w:p>
    <w:p>
      <w:pPr>
        <w:pStyle w:val="Heading2"/>
      </w:pPr>
      <w:r>
        <w:rPr>
          <w:sz w:val="22"/>
        </w:rPr>
        <w:t xml:space="preserve">4. Notice requirements</w:t>
      </w:r>
    </w:p>
    <w:p>
      <w:pPr/>
      <w:r>
        <w:rPr>
          <w:sz w:val="22"/>
        </w:rPr>
        <w:t xml:space="preserve">### Change-of-Control notice — Section 10.5(a)</w:t>
      </w:r>
    </w:p>
    <w:p>
      <w:pPr/>
      <w:r>
        <w:rPr>
          <w:sz w:val="22"/>
        </w:rPr>
        <w:t xml:space="preserve">Apex must:</w:t>
      </w:r>
    </w:p>
    <w:p>
      <w:pPr>
        <w:pStyle w:val="ListBullet"/>
      </w:pPr>
      <w:r>
        <w:rPr>
          <w:sz w:val="22"/>
        </w:rPr>
        <w:t xml:space="preserve">Provide written notice to PacWest;</w:t>
      </w:r>
    </w:p>
    <w:p>
      <w:pPr>
        <w:pStyle w:val="ListBullet"/>
      </w:pPr>
      <w:r>
        <w:rPr>
          <w:sz w:val="22"/>
        </w:rPr>
        <w:t xml:space="preserve">Do so within 10 business days after consummation of the Change of Control; and</w:t>
      </w:r>
    </w:p>
    <w:p>
      <w:pPr>
        <w:pStyle w:val="ListBullet"/>
      </w:pPr>
      <w:r>
        <w:rPr>
          <w:sz w:val="22"/>
        </w:rPr>
        <w:t xml:space="preserve">Include:</w:t>
      </w:r>
    </w:p>
    <w:p>
      <w:pPr>
        <w:pStyle w:val="ListBullet"/>
      </w:pPr>
      <w:r>
        <w:rPr>
          <w:sz w:val="22"/>
        </w:rPr>
        <w:t xml:space="preserve">1. A description of the transaction;</w:t>
      </w:r>
    </w:p>
    <w:p>
      <w:pPr>
        <w:pStyle w:val="ListBullet"/>
      </w:pPr>
      <w:r>
        <w:rPr>
          <w:sz w:val="22"/>
        </w:rPr>
        <w:t xml:space="preserve">2. The identity of the acquiring entity or new controlling person(s); and</w:t>
      </w:r>
    </w:p>
    <w:p>
      <w:pPr>
        <w:pStyle w:val="ListBullet"/>
      </w:pPr>
      <w:r>
        <w:rPr>
          <w:sz w:val="22"/>
        </w:rPr>
        <w:t xml:space="preserve">3. Any anticipated impact on Apex’s ability to perform its obligations.</w:t>
      </w:r>
    </w:p>
    <w:p>
      <w:pPr/>
      <w:r>
        <w:rPr>
          <w:sz w:val="22"/>
        </w:rPr>
        <w:t xml:space="preserve">The provision does not require notice before signing or closing. It expressly permits consummation before the notice deadline.</w:t>
      </w:r>
    </w:p>
    <w:p>
      <w:pPr/>
      <w:r>
        <w:rPr>
          <w:sz w:val="22"/>
        </w:rPr>
        <w:t xml:space="preserve">### Delivery method and recipient — Section 16.1</w:t>
      </w:r>
    </w:p>
    <w:p>
      <w:pPr/>
      <w:r>
        <w:rPr>
          <w:sz w:val="22"/>
        </w:rPr>
        <w:t xml:space="preserve">All notices, including Change-of-Control notices, must be in writing and delivered by one of the following:</w:t>
      </w:r>
    </w:p>
    <w:p>
      <w:pPr>
        <w:pStyle w:val="ListBullet"/>
      </w:pPr>
      <w:r>
        <w:rPr>
          <w:sz w:val="22"/>
        </w:rPr>
        <w:t xml:space="preserve">Hand delivery;</w:t>
      </w:r>
    </w:p>
    <w:p>
      <w:pPr>
        <w:pStyle w:val="ListBullet"/>
      </w:pPr>
      <w:r>
        <w:rPr>
          <w:sz w:val="22"/>
        </w:rPr>
        <w:t xml:space="preserve">Nationally recognized overnight courier; or</w:t>
      </w:r>
    </w:p>
    <w:p>
      <w:pPr>
        <w:pStyle w:val="ListBullet"/>
      </w:pPr>
      <w:r>
        <w:rPr>
          <w:sz w:val="22"/>
        </w:rPr>
        <w:t xml:space="preserve">United States certified mail, return receipt requested, postage prepaid.</w:t>
      </w:r>
    </w:p>
    <w:p>
      <w:pPr/>
      <w:r>
        <w:rPr>
          <w:sz w:val="22"/>
        </w:rPr>
        <w:t xml:space="preserve">Notice to PacWest must be addressed to:</w:t>
      </w:r>
    </w:p>
    <w:p>
      <w:pPr/>
      <w:r>
        <w:rPr>
          <w:sz w:val="22"/>
        </w:rPr>
        <w:t xml:space="preserve">PacWest Water Authority   Attention: Sandra Liu, Director of Purchasing   2500 Clearwater Boulevard, Suite 200   Sacramento, California 95814</w:t>
      </w:r>
    </w:p>
    <w:p>
      <w:pPr/>
      <w:r>
        <w:rPr>
          <w:sz w:val="22"/>
        </w:rPr>
        <w:t xml:space="preserve">With a copy to:</w:t>
      </w:r>
    </w:p>
    <w:p>
      <w:pPr/>
      <w:r>
        <w:rPr>
          <w:sz w:val="22"/>
        </w:rPr>
        <w:t xml:space="preserve">PacWest Water Authority Office of General Counsel   2500 Clearwater Boulevard, Suite 300   Sacramento, California 95814</w:t>
      </w:r>
    </w:p>
    <w:p>
      <w:pPr/>
      <w:r>
        <w:rPr>
          <w:sz w:val="22"/>
        </w:rPr>
        <w:t xml:space="preserve">Notices are effective upon receipt. Either party may change its notice address by written notice under Section 16.1.</w:t>
      </w:r>
    </w:p>
    <w:p>
      <w:pPr/>
      <w:r>
        <w:rPr>
          <w:sz w:val="22"/>
        </w:rPr>
        <w:t xml:space="preserve">Express timing distinction: The 10-business-day period runs from consummation of the Change of Control. Section 10.5 does not require a pre-closing consent request or pre-closing notice.</w:t>
      </w:r>
    </w:p>
    <w:p>
      <w:pPr/>
      <w:r>
        <w:rPr>
          <w:sz w:val="22"/>
        </w:rPr>
        <w:t xml:space="preserve">---</w:t>
      </w:r>
    </w:p>
    <w:p>
      <w:pPr>
        <w:pStyle w:val="Heading2"/>
      </w:pPr>
      <w:r>
        <w:rPr>
          <w:sz w:val="22"/>
        </w:rPr>
        <w:t xml:space="preserve">5. Consent, approval, waiver, or consultation rights</w:t>
      </w:r>
    </w:p>
    <w:p>
      <w:pPr/>
      <w:r>
        <w:rPr>
          <w:sz w:val="22"/>
        </w:rPr>
        <w:t xml:space="preserve">### PacWest consent right — Section 10.5(b)</w:t>
      </w:r>
    </w:p>
    <w:p>
      <w:pPr/>
      <w:r>
        <w:rPr>
          <w:sz w:val="22"/>
        </w:rPr>
        <w:t xml:space="preserve">Upon receiving notice, or upon otherwise becoming aware of the Change of Control, PacWest may, in its sole discretion, elect either to:</w:t>
      </w:r>
    </w:p>
    <w:p>
      <w:pPr/>
      <w:r>
        <w:rPr>
          <w:sz w:val="22"/>
        </w:rPr>
        <w:t xml:space="preserve">1. Consent to continuation of the Agreement with:    - The successor entity; or    - The reconstituted Supplier, as applicable; or 2. Terminate the Agreement upon 90 days’ written notice to Apex or its successor.</w:t>
      </w:r>
    </w:p>
    <w:p>
      <w:pPr/>
      <w:r>
        <w:rPr>
          <w:sz w:val="22"/>
        </w:rPr>
        <w:t xml:space="preserve">The consent right belongs to PacWest, not to Apex, the buyer, or any third party.</w:t>
      </w:r>
    </w:p>
    <w:p>
      <w:pPr/>
      <w:r>
        <w:rPr>
          <w:sz w:val="22"/>
        </w:rPr>
        <w:t xml:space="preserve">### No deemed consent — Section 10.5(c)</w:t>
      </w:r>
    </w:p>
    <w:p>
      <w:pPr/>
      <w:r>
        <w:rPr>
          <w:sz w:val="22"/>
        </w:rPr>
        <w:t xml:space="preserve">If PacWest’s consent is not obtained within 60 days after closing, PacWest may exercise its termination right at any time thereafter.</w:t>
      </w:r>
    </w:p>
    <w:p>
      <w:pPr/>
      <w:r>
        <w:rPr>
          <w:sz w:val="22"/>
        </w:rPr>
        <w:t xml:space="preserve">The contract expressly provides:</w:t>
      </w:r>
    </w:p>
    <w:p>
      <w:pPr/>
      <w:r>
        <w:rPr>
          <w:sz w:val="22"/>
        </w:rPr>
        <w:t xml:space="preserve">“PacWest’s failure to respond within such sixty (60) day period shall not constitute consent to the Change of Control or a waiver of PacWest’s termination rights.”</w:t>
      </w:r>
    </w:p>
    <w:p>
      <w:pPr/>
      <w:r>
        <w:rPr>
          <w:sz w:val="22"/>
        </w:rPr>
        <w:t xml:space="preserve">Thus, silence does not approve the transaction.</w:t>
      </w:r>
    </w:p>
    <w:p>
      <w:pPr/>
      <w:r>
        <w:rPr>
          <w:sz w:val="22"/>
        </w:rPr>
        <w:t xml:space="preserve">### Withholding of consent</w:t>
      </w:r>
    </w:p>
    <w:p>
      <w:pPr/>
      <w:r>
        <w:rPr>
          <w:sz w:val="22"/>
        </w:rPr>
        <w:t xml:space="preserve">The Agreement does not state a substantive standard limiting PacWest’s discretion. Section 10.5(b) states that PacWest acts “in its sole discretion.” Accordingly, the text gives PacWest an express right to withhold consent without specifying cause.</w:t>
      </w:r>
    </w:p>
    <w:p>
      <w:pPr/>
      <w:r>
        <w:rPr>
          <w:sz w:val="22"/>
        </w:rPr>
        <w:t xml:space="preserve">### Assignment consent — Section 12.2</w:t>
      </w:r>
    </w:p>
    <w:p>
      <w:pPr/>
      <w:r>
        <w:rPr>
          <w:sz w:val="22"/>
        </w:rPr>
        <w:t xml:space="preserve">Apex generally may not assign the Agreement or its rights or obligations without PacWest’s prior written consent, which:</w:t>
      </w:r>
    </w:p>
    <w:p>
      <w:pPr/>
      <w:r>
        <w:rPr>
          <w:sz w:val="22"/>
        </w:rPr>
        <w:t xml:space="preserve">“may be withheld in PacWest’s sole discretion.”</w:t>
      </w:r>
    </w:p>
    <w:p>
      <w:pPr/>
      <w:r>
        <w:rPr>
          <w:sz w:val="22"/>
        </w:rPr>
        <w:t xml:space="preserve">However, Section 12.2 expressly provides that a Change of Control:</w:t>
      </w:r>
    </w:p>
    <w:p>
      <w:pPr/>
      <w:r>
        <w:rPr>
          <w:sz w:val="22"/>
        </w:rPr>
        <w:t xml:space="preserve">“shall not be deemed an assignment for purposes of this Section 12.2,”</w:t>
      </w:r>
    </w:p>
    <w:p>
      <w:pPr/>
      <w:r>
        <w:rPr>
          <w:sz w:val="22"/>
        </w:rPr>
        <w:t xml:space="preserve">provided that it remains subject to the notice and consent provisions of Section 10.5.</w:t>
      </w:r>
    </w:p>
    <w:p>
      <w:pPr/>
      <w:r>
        <w:rPr>
          <w:sz w:val="22"/>
        </w:rPr>
        <w:t xml:space="preserve">### Waiver and amendment</w:t>
      </w:r>
    </w:p>
    <w:p>
      <w:pPr>
        <w:pStyle w:val="ListBullet"/>
      </w:pPr>
      <w:r>
        <w:rPr>
          <w:sz w:val="22"/>
        </w:rPr>
        <w:t xml:space="preserve">No waiver is effective unless in writing and signed by the party granting it — Section 16.4.</w:t>
      </w:r>
    </w:p>
    <w:p>
      <w:pPr>
        <w:pStyle w:val="ListBullet"/>
      </w:pPr>
      <w:r>
        <w:rPr>
          <w:sz w:val="22"/>
        </w:rPr>
        <w:t xml:space="preserve">Amendments require a written instrument executed by authorized representatives of both parties — Section 16.3.</w:t>
      </w:r>
    </w:p>
    <w:p>
      <w:pPr/>
      <w:r>
        <w:rPr>
          <w:sz w:val="22"/>
        </w:rPr>
        <w:t xml:space="preserve">There is no express consultation right, good-faith consent standard, or requirement that PacWest explain a decision to withhold consent.</w:t>
      </w:r>
    </w:p>
    <w:p>
      <w:pPr/>
      <w:r>
        <w:rPr>
          <w:sz w:val="22"/>
        </w:rPr>
        <w:t xml:space="preserve">---</w:t>
      </w:r>
    </w:p>
    <w:p>
      <w:pPr>
        <w:pStyle w:val="Heading2"/>
      </w:pPr>
      <w:r>
        <w:rPr>
          <w:sz w:val="22"/>
        </w:rPr>
        <w:t xml:space="preserve">6. Assignment, transfer, successor, affiliate, and permitted-transfer restrictions</w:t>
      </w:r>
    </w:p>
    <w:p>
      <w:pPr/>
      <w:r>
        <w:rPr>
          <w:sz w:val="22"/>
        </w:rPr>
        <w:t xml:space="preserve">### Supplier assignment restriction</w:t>
      </w:r>
    </w:p>
    <w:p>
      <w:pPr/>
      <w:r>
        <w:rPr>
          <w:sz w:val="22"/>
        </w:rPr>
        <w:t xml:space="preserve">Under Section 12.2:</w:t>
      </w:r>
    </w:p>
    <w:p>
      <w:pPr>
        <w:pStyle w:val="ListBullet"/>
      </w:pPr>
      <w:r>
        <w:rPr>
          <w:sz w:val="22"/>
        </w:rPr>
        <w:t xml:space="preserve">Apex may not assign the Agreement or any rights or obligations:</w:t>
      </w:r>
    </w:p>
    <w:p>
      <w:pPr>
        <w:pStyle w:val="ListBullet"/>
      </w:pPr>
      <w:r>
        <w:rPr>
          <w:sz w:val="22"/>
        </w:rPr>
        <w:t xml:space="preserve">- By operation of law; or</w:t>
      </w:r>
    </w:p>
    <w:p>
      <w:pPr>
        <w:pStyle w:val="ListBullet"/>
      </w:pPr>
      <w:r>
        <w:rPr>
          <w:sz w:val="22"/>
        </w:rPr>
        <w:t xml:space="preserve">- Otherwise,</w:t>
      </w:r>
    </w:p>
    <w:p>
      <w:pPr>
        <w:pStyle w:val="ListBullet"/>
      </w:pPr>
      <w:r>
        <w:rPr>
          <w:sz w:val="22"/>
        </w:rPr>
        <w:t xml:space="preserve">Without PacWest’s prior written consent.</w:t>
      </w:r>
    </w:p>
    <w:p>
      <w:pPr>
        <w:pStyle w:val="ListBullet"/>
      </w:pPr>
      <w:r>
        <w:rPr>
          <w:sz w:val="22"/>
        </w:rPr>
        <w:t xml:space="preserve">PacWest may withhold consent in its sole discretion.</w:t>
      </w:r>
    </w:p>
    <w:p>
      <w:pPr>
        <w:pStyle w:val="ListBullet"/>
      </w:pPr>
      <w:r>
        <w:rPr>
          <w:sz w:val="22"/>
        </w:rPr>
        <w:t xml:space="preserve">An attempted assignment in violation of Section 12.2 is “null and void and of no force or effect.”</w:t>
      </w:r>
    </w:p>
    <w:p>
      <w:pPr/>
      <w:r>
        <w:rPr>
          <w:sz w:val="22"/>
        </w:rPr>
        <w:t xml:space="preserve">### Change of Control treatment</w:t>
      </w:r>
    </w:p>
    <w:p>
      <w:pPr/>
      <w:r>
        <w:rPr>
          <w:sz w:val="22"/>
        </w:rPr>
        <w:t xml:space="preserve">A Change of Control is expressly excluded from being treated as an assignment under Section 12.2, but it remains subject to Section 10.5’s notice, consent, and termination regime.</w:t>
      </w:r>
    </w:p>
    <w:p>
      <w:pPr/>
      <w:r>
        <w:rPr>
          <w:sz w:val="22"/>
        </w:rPr>
        <w:t xml:space="preserve">Practical implication: A stock acquisition or other qualifying Change of Control does not require separate assignment consent under Section 12.2, but it does expose the Agreement to PacWest’s Section 10.5 consent/termination rights.</w:t>
      </w:r>
    </w:p>
    <w:p>
      <w:pPr/>
      <w:r>
        <w:rPr>
          <w:sz w:val="22"/>
        </w:rPr>
        <w:t xml:space="preserve">### PacWest assignment right</w:t>
      </w:r>
    </w:p>
    <w:p>
      <w:pPr/>
      <w:r>
        <w:rPr>
          <w:sz w:val="22"/>
        </w:rPr>
        <w:t xml:space="preserve">PacWest may assign the Agreement, in whole or in part, without Apex’s prior consent to:</w:t>
      </w:r>
    </w:p>
    <w:p>
      <w:pPr>
        <w:pStyle w:val="ListBullet"/>
      </w:pPr>
      <w:r>
        <w:rPr>
          <w:sz w:val="22"/>
        </w:rPr>
        <w:t xml:space="preserve">A successor municipal authority;</w:t>
      </w:r>
    </w:p>
    <w:p>
      <w:pPr>
        <w:pStyle w:val="ListBullet"/>
      </w:pPr>
      <w:r>
        <w:rPr>
          <w:sz w:val="22"/>
        </w:rPr>
        <w:t xml:space="preserve">A governmental entity; or</w:t>
      </w:r>
    </w:p>
    <w:p>
      <w:pPr>
        <w:pStyle w:val="ListBullet"/>
      </w:pPr>
      <w:r>
        <w:rPr>
          <w:sz w:val="22"/>
        </w:rPr>
        <w:t xml:space="preserve">An agency.</w:t>
      </w:r>
    </w:p>
    <w:p>
      <w:pPr/>
      <w:r>
        <w:rPr>
          <w:sz w:val="22"/>
        </w:rPr>
        <w:t xml:space="preserve">PacWest must provide written notice within 30 days after the assignment — Section 12.1.</w:t>
      </w:r>
    </w:p>
    <w:p>
      <w:pPr/>
      <w:r>
        <w:rPr>
          <w:sz w:val="22"/>
        </w:rPr>
        <w:t xml:space="preserve">### Successors</w:t>
      </w:r>
    </w:p>
    <w:p>
      <w:pPr/>
      <w:r>
        <w:rPr>
          <w:sz w:val="22"/>
        </w:rPr>
        <w:t xml:space="preserve">The Agreement binds and benefits the parties and their “permitted successors and assigns” — Section 12.3. Section 10.5(b) separately addresses continuation with a successor entity or reconstituted Supplier if PacWest consents.</w:t>
      </w:r>
    </w:p>
    <w:p>
      <w:pPr/>
      <w:r>
        <w:rPr>
          <w:sz w:val="22"/>
        </w:rPr>
        <w:t xml:space="preserve">### Affiliate transfers</w:t>
      </w:r>
    </w:p>
    <w:p>
      <w:pPr/>
      <w:r>
        <w:rPr>
          <w:sz w:val="22"/>
        </w:rPr>
        <w:t xml:space="preserve">The contract contains no express permitted-transfer exception for assignments to Affiliates and no express exemption for internal reorganizations. The definition of Affiliate itself does not create an assignment safe harbor.</w:t>
      </w:r>
    </w:p>
    <w:p>
      <w:pPr/>
      <w:r>
        <w:rPr>
          <w:sz w:val="22"/>
        </w:rPr>
        <w:t xml:space="preserve">---</w:t>
      </w:r>
    </w:p>
    <w:p>
      <w:pPr>
        <w:pStyle w:val="Heading2"/>
      </w:pPr>
      <w:r>
        <w:rPr>
          <w:sz w:val="22"/>
        </w:rPr>
        <w:t xml:space="preserve">Contract-Specific Risk Conclusion</w:t>
      </w:r>
    </w:p>
    <w:p>
      <w:pPr/>
      <w:r>
        <w:rPr>
          <w:sz w:val="22"/>
        </w:rPr>
        <w:t xml:space="preserve">The Pacwest Supply Agreement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8. Product Liability Policy</w:t>
      </w:r>
    </w:p>
    <w:p>
      <w:pPr/>
      <w:r>
        <w:rPr>
          <w:sz w:val="22"/>
        </w:rPr>
        <w:t xml:space="preserve">Source file: product-liability-policy.docx.txt</w:t>
      </w:r>
    </w:p>
    <w:p>
      <w:pPr/>
      <w:r>
        <w:rPr>
          <w:sz w:val="22"/>
        </w:rPr>
        <w:t xml:space="preserve">Risk rating: High</w:t>
      </w:r>
    </w:p>
    <w:p>
      <w:pPr>
        <w:pStyle w:val="Heading2"/>
      </w:pPr>
      <w:r>
        <w:rPr>
          <w:sz w:val="22"/>
        </w:rPr>
        <w:t xml:space="preserve">4. Notice requirements</w:t>
      </w:r>
    </w:p>
    <w:p>
      <w:pPr/>
      <w:r>
        <w:rPr>
          <w:sz w:val="22"/>
        </w:rPr>
        <w:t xml:space="preserve">### Change-of-Control notice</w:t>
      </w:r>
    </w:p>
    <w:p>
      <w:pPr/>
      <w:r>
        <w:rPr>
          <w:sz w:val="22"/>
        </w:rPr>
        <w:t xml:space="preserve">Under Section IV.F.2:</w:t>
      </w:r>
    </w:p>
    <w:p>
      <w:pPr>
        <w:pStyle w:val="ListBullet"/>
      </w:pPr>
      <w:r>
        <w:rPr>
          <w:sz w:val="22"/>
        </w:rPr>
        <w:t xml:space="preserve">Required notice: Written notice of any Change of Control.</w:t>
      </w:r>
    </w:p>
    <w:p>
      <w:pPr>
        <w:pStyle w:val="ListBullet"/>
      </w:pPr>
      <w:r>
        <w:rPr>
          <w:sz w:val="22"/>
        </w:rPr>
        <w:t xml:space="preserve">Timing: Within 15 days following the effective date of the Change of Control.</w:t>
      </w:r>
    </w:p>
    <w:p>
      <w:pPr>
        <w:pStyle w:val="ListBullet"/>
      </w:pPr>
      <w:r>
        <w:rPr>
          <w:sz w:val="22"/>
        </w:rPr>
        <w:t xml:space="preserve">Recipient: The Insurer, Great Lakes Indemnity Company.</w:t>
      </w:r>
    </w:p>
    <w:p>
      <w:pPr>
        <w:pStyle w:val="ListBullet"/>
      </w:pPr>
      <w:r>
        <w:rPr>
          <w:sz w:val="22"/>
        </w:rPr>
        <w:t xml:space="preserve">Required content: Section IV.F.2 does not specify particular content for the Change-of-Control notice.</w:t>
      </w:r>
    </w:p>
    <w:p>
      <w:pPr/>
      <w:r>
        <w:rPr>
          <w:sz w:val="22"/>
        </w:rPr>
        <w:t xml:space="preserve">The policy’s general claims-reporting provision, Section VI.A, directs written reports to:</w:t>
      </w:r>
    </w:p>
    <w:p>
      <w:pPr/>
      <w:r>
        <w:rPr>
          <w:sz w:val="22"/>
        </w:rPr>
        <w:t xml:space="preserve">Great Lakes Indemnity Company, Claims Department, 300 North LaSalle Street, Suite 1500, Chicago, IL 60654, Attention: Product Liability Claims Unit.</w:t>
      </w:r>
    </w:p>
    <w:p>
      <w:pPr/>
      <w:r>
        <w:rPr>
          <w:sz w:val="22"/>
        </w:rPr>
        <w:t xml:space="preserve">However, Section VI.A is framed around reporting Occurrences and Claims, not specifically Change-of-Control notices. The policy does not expressly state that Change-of-Control notice must be sent to that address or attention line. As a diligence matter, the notice should nevertheless be sent to the Insurer at that address and to the broker, with delivery confirmation, unless the Insurer provides different written instructions.</w:t>
      </w:r>
    </w:p>
    <w:p>
      <w:pPr/>
      <w:r>
        <w:rPr>
          <w:sz w:val="22"/>
        </w:rPr>
        <w:t xml:space="preserve">### Consequence of late or omitted notice</w:t>
      </w:r>
    </w:p>
    <w:p>
      <w:pPr/>
      <w:r>
        <w:rPr>
          <w:sz w:val="22"/>
        </w:rPr>
        <w:t xml:space="preserve">Failure to give timely notice:</w:t>
      </w:r>
    </w:p>
    <w:p>
      <w:pPr>
        <w:pStyle w:val="ListBullet"/>
      </w:pPr>
      <w:r>
        <w:rPr>
          <w:sz w:val="22"/>
        </w:rPr>
        <w:t xml:space="preserve">does not prevent automatic Run-Off conversion; but</w:t>
      </w:r>
    </w:p>
    <w:p>
      <w:pPr>
        <w:pStyle w:val="ListBullet"/>
      </w:pPr>
      <w:r>
        <w:rPr>
          <w:sz w:val="22"/>
        </w:rPr>
        <w:t xml:space="preserve">may permit the Insurer to void coverage for a Claim if the Insurer’s investigation or defense was prejudiced by the late notice.</w:t>
      </w:r>
    </w:p>
    <w:p>
      <w:pPr/>
      <w:r>
        <w:rPr>
          <w:sz w:val="22"/>
        </w:rPr>
        <w:t xml:space="preserve">### Other potentially relevant notices</w:t>
      </w:r>
    </w:p>
    <w:p>
      <w:pPr>
        <w:pStyle w:val="ListBullet"/>
      </w:pPr>
      <w:r>
        <w:rPr>
          <w:sz w:val="22"/>
        </w:rPr>
        <w:t xml:space="preserve">Tail option: Under Endorsement No. 1, written notice to purchase an Extended Reporting Period must be provided within 30 days of the event triggering the Tail option, including conversion to Run-Off Basis.</w:t>
      </w:r>
    </w:p>
    <w:p>
      <w:pPr>
        <w:pStyle w:val="ListBullet"/>
      </w:pPr>
      <w:r>
        <w:rPr>
          <w:sz w:val="22"/>
        </w:rPr>
        <w:t xml:space="preserve">Run-Off extension request: Under Section IV.F.3, a request for an extension of the Run-Off Period must be submitted in writing no later than 60 days before expiration of the then-current Run-Off Period.</w:t>
      </w:r>
    </w:p>
    <w:p>
      <w:pPr>
        <w:pStyle w:val="ListBullet"/>
      </w:pPr>
      <w:r>
        <w:rPr>
          <w:sz w:val="22"/>
        </w:rPr>
        <w:t xml:space="preserve">Claims and occurrences: Sections IV.A and VI.A impose separate claim/occurrence reporting requirements, including a 30-day outside deadline for certain occurrences and forwarding legal papers within 10 business days after receipt.</w:t>
      </w:r>
    </w:p>
    <w:p>
      <w:pPr/>
      <w:r>
        <w:rPr>
          <w:sz w:val="22"/>
        </w:rPr>
        <w:t xml:space="preserve">---</w:t>
      </w:r>
    </w:p>
    <w:p>
      <w:pPr>
        <w:pStyle w:val="Heading2"/>
      </w:pPr>
      <w:r>
        <w:rPr>
          <w:sz w:val="22"/>
        </w:rPr>
        <w:t xml:space="preserve">5. Consent, approval, waiver, or consultation rights</w:t>
      </w:r>
    </w:p>
    <w:p>
      <w:pPr/>
      <w:r>
        <w:rPr>
          <w:sz w:val="22"/>
        </w:rPr>
        <w:t xml:space="preserve">### Change of Control itself</w:t>
      </w:r>
    </w:p>
    <w:p>
      <w:pPr/>
      <w:r>
        <w:rPr>
          <w:sz w:val="22"/>
        </w:rPr>
        <w:t xml:space="preserve">The policy does not require the Insurer’s prior consent or approval for the Change of Control to occur. Section IV.F.1 states that conversion occurs:</w:t>
      </w:r>
    </w:p>
    <w:p>
      <w:pPr/>
      <w:r>
        <w:rPr>
          <w:sz w:val="22"/>
        </w:rPr>
        <w:t xml:space="preserve">“automatically, and without the requirement of any notice from or action by the Insurer.”</w:t>
      </w:r>
    </w:p>
    <w:p>
      <w:pPr/>
      <w:r>
        <w:rPr>
          <w:sz w:val="22"/>
        </w:rPr>
        <w:t xml:space="preserve">Accordingly, there is no express Insurer veto over the transaction under the Change-of-Control provision. There is also no express consultation right.</w:t>
      </w:r>
    </w:p>
    <w:p>
      <w:pPr/>
      <w:r>
        <w:rPr>
          <w:sz w:val="22"/>
        </w:rPr>
        <w:t xml:space="preserve">### Assignment or transfer</w:t>
      </w:r>
    </w:p>
    <w:p>
      <w:pPr/>
      <w:r>
        <w:rPr>
          <w:sz w:val="22"/>
        </w:rPr>
        <w:t xml:space="preserve">Under Section IV.E, the Policy and rights under it may not be assigned or transferred by the Named Insured without the Insurer’s prior written consent. That consent:</w:t>
      </w:r>
    </w:p>
    <w:p>
      <w:pPr>
        <w:pStyle w:val="ListBullet"/>
      </w:pPr>
      <w:r>
        <w:rPr>
          <w:sz w:val="22"/>
        </w:rPr>
        <w:t xml:space="preserve">may be withheld in the Insurer’s “sole and absolute discretion”; and</w:t>
      </w:r>
    </w:p>
    <w:p>
      <w:pPr>
        <w:pStyle w:val="ListBullet"/>
      </w:pPr>
      <w:r>
        <w:rPr>
          <w:sz w:val="22"/>
        </w:rPr>
        <w:t xml:space="preserve">is required to avoid the purported assignment or transfer being “void and of no effect.”</w:t>
      </w:r>
    </w:p>
    <w:p>
      <w:pPr/>
      <w:r>
        <w:rPr>
          <w:sz w:val="22"/>
        </w:rPr>
        <w:t xml:space="preserve">Section IV.E expressly states that this restriction does not limit or modify the automatic conversion provisions in Section IV.F.</w:t>
      </w:r>
    </w:p>
    <w:p>
      <w:pPr/>
      <w:r>
        <w:rPr>
          <w:sz w:val="22"/>
        </w:rPr>
        <w:t xml:space="preserve">### Run-Off extension</w:t>
      </w:r>
    </w:p>
    <w:p>
      <w:pPr/>
      <w:r>
        <w:rPr>
          <w:sz w:val="22"/>
        </w:rPr>
        <w:t xml:space="preserve">The Named Insured may request an extension of the Run-Off Period for up to 36 months beyond the original Policy Period, but:</w:t>
      </w:r>
    </w:p>
    <w:p>
      <w:pPr>
        <w:pStyle w:val="ListBullet"/>
      </w:pPr>
      <w:r>
        <w:rPr>
          <w:sz w:val="22"/>
        </w:rPr>
        <w:t xml:space="preserve">the extension is subject to additional premium determined by the Insurer in its sole discretion; and</w:t>
      </w:r>
    </w:p>
    <w:p>
      <w:pPr>
        <w:pStyle w:val="ListBullet"/>
      </w:pPr>
      <w:r>
        <w:rPr>
          <w:sz w:val="22"/>
        </w:rPr>
        <w:t xml:space="preserve">the Insurer has no obligation to grant the extension.</w:t>
      </w:r>
    </w:p>
    <w:p>
      <w:pPr/>
      <w:r>
        <w:rPr>
          <w:sz w:val="22"/>
        </w:rPr>
        <w:t xml:space="preserve">### New policy for successor</w:t>
      </w:r>
    </w:p>
    <w:p>
      <w:pPr/>
      <w:r>
        <w:rPr>
          <w:sz w:val="22"/>
        </w:rPr>
        <w:t xml:space="preserve">Section IV.F.5 provides that the successor, parent, or affiliate acquiring control does not receive coverage under the Policy unless and until it applies for and is issued a new policy by the Insurer. Issuance of that new policy is not guaranteed.</w:t>
      </w:r>
    </w:p>
    <w:p>
      <w:pPr/>
      <w:r>
        <w:rPr>
          <w:sz w:val="22"/>
        </w:rPr>
        <w:t xml:space="preserve">### Claims settlement consent</w:t>
      </w:r>
    </w:p>
    <w:p>
      <w:pPr/>
      <w:r>
        <w:rPr>
          <w:sz w:val="22"/>
        </w:rPr>
        <w:t xml:space="preserve">This is not a Change-of-Control right but is an express consent right elsewhere in the Policy. Under Section VI.C:</w:t>
      </w:r>
    </w:p>
    <w:p>
      <w:pPr>
        <w:pStyle w:val="ListBullet"/>
      </w:pPr>
      <w:r>
        <w:rPr>
          <w:sz w:val="22"/>
        </w:rPr>
        <w:t xml:space="preserve">the Insurer may settle a Claim or suit;</w:t>
      </w:r>
    </w:p>
    <w:p>
      <w:pPr>
        <w:pStyle w:val="ListBullet"/>
      </w:pPr>
      <w:r>
        <w:rPr>
          <w:sz w:val="22"/>
        </w:rPr>
        <w:t xml:space="preserve">the Insurer may not settle for more than $500,000 per occurrence without the Named Insured’s prior written consent; and</w:t>
      </w:r>
    </w:p>
    <w:p>
      <w:pPr>
        <w:pStyle w:val="ListBullet"/>
      </w:pPr>
      <w:r>
        <w:rPr>
          <w:sz w:val="22"/>
        </w:rPr>
        <w:t xml:space="preserve">if the Named Insured refuses a recommended settlement and the resulting resolution exceeds the proposed settlement, the Named Insured bears the excess.</w:t>
      </w:r>
    </w:p>
    <w:p>
      <w:pPr/>
      <w:r>
        <w:rPr>
          <w:sz w:val="22"/>
        </w:rPr>
        <w:t xml:space="preserve">### Modification or waiver</w:t>
      </w:r>
    </w:p>
    <w:p>
      <w:pPr/>
      <w:r>
        <w:rPr>
          <w:sz w:val="22"/>
        </w:rPr>
        <w:t xml:space="preserve">Section IV.I requires any modification or waiver of the Policy to be made by a written endorsement issued by the Insurer and attached to the Policy. An informal broker communication would not satisfy the express modification requirement.</w:t>
      </w:r>
    </w:p>
    <w:p>
      <w:pPr/>
      <w:r>
        <w:rPr>
          <w:sz w:val="22"/>
        </w:rPr>
        <w:t xml:space="preserve">---</w:t>
      </w:r>
    </w:p>
    <w:p>
      <w:pPr>
        <w:pStyle w:val="Heading2"/>
      </w:pPr>
      <w:r>
        <w:rPr>
          <w:sz w:val="22"/>
        </w:rPr>
        <w:t xml:space="preserve">6. Assignment, transfer, successor, affiliate, and permitted-transfer restrictions</w:t>
      </w:r>
    </w:p>
    <w:p>
      <w:pPr/>
      <w:r>
        <w:rPr>
          <w:sz w:val="22"/>
        </w:rPr>
        <w:t xml:space="preserve">### Assignment restriction</w:t>
      </w:r>
    </w:p>
    <w:p>
      <w:pPr/>
      <w:r>
        <w:rPr>
          <w:sz w:val="22"/>
        </w:rPr>
        <w:t xml:space="preserve">Section IV.E prohibits assignment or transfer of:</w:t>
      </w:r>
    </w:p>
    <w:p>
      <w:pPr/>
      <w:r>
        <w:rPr>
          <w:sz w:val="22"/>
        </w:rPr>
        <w:t xml:space="preserve">“This Policy and any rights hereunder”</w:t>
      </w:r>
    </w:p>
    <w:p>
      <w:pPr/>
      <w:r>
        <w:rPr>
          <w:sz w:val="22"/>
        </w:rPr>
        <w:t xml:space="preserve">without the Insurer’s prior written consent. Consent may be withheld in the Insurer’s sole and absolute discretion. An unauthorized assignment or transfer is void.</w:t>
      </w:r>
    </w:p>
    <w:p>
      <w:pPr/>
      <w:r>
        <w:rPr>
          <w:sz w:val="22"/>
        </w:rPr>
        <w:t xml:space="preserve">### Successor, parent, or affiliate coverage</w:t>
      </w:r>
    </w:p>
    <w:p>
      <w:pPr/>
      <w:r>
        <w:rPr>
          <w:sz w:val="22"/>
        </w:rPr>
        <w:t xml:space="preserve">Section IV.F.5 expressly excludes coverage for:</w:t>
      </w:r>
    </w:p>
    <w:p>
      <w:pPr>
        <w:pStyle w:val="ListBullet"/>
      </w:pPr>
      <w:r>
        <w:rPr>
          <w:sz w:val="22"/>
        </w:rPr>
        <w:t xml:space="preserve">a successor entity;</w:t>
      </w:r>
    </w:p>
    <w:p>
      <w:pPr>
        <w:pStyle w:val="ListBullet"/>
      </w:pPr>
      <w:r>
        <w:rPr>
          <w:sz w:val="22"/>
        </w:rPr>
        <w:t xml:space="preserve">a parent entity; or</w:t>
      </w:r>
    </w:p>
    <w:p>
      <w:pPr>
        <w:pStyle w:val="ListBullet"/>
      </w:pPr>
      <w:r>
        <w:rPr>
          <w:sz w:val="22"/>
        </w:rPr>
        <w:t xml:space="preserve">an affiliate of the Named Insured</w:t>
      </w:r>
    </w:p>
    <w:p>
      <w:pPr/>
      <w:r>
        <w:rPr>
          <w:sz w:val="22"/>
        </w:rPr>
        <w:t xml:space="preserve">that acquires control as a result of a Change of Control, unless and until the entity applies for and is issued a new policy by the Insurer.</w:t>
      </w:r>
    </w:p>
    <w:p>
      <w:pPr/>
      <w:r>
        <w:rPr>
          <w:sz w:val="22"/>
        </w:rPr>
        <w:t xml:space="preserve">Even then, the successor has no rights under the existing Policy for Products manufactured, sold, handled, distributed, or disposed of on or after the Run-Off Conversion Date.</w:t>
      </w:r>
    </w:p>
    <w:p>
      <w:pPr/>
      <w:r>
        <w:rPr>
          <w:sz w:val="22"/>
        </w:rPr>
        <w:t xml:space="preserve">### Permitted transfers or exceptions</w:t>
      </w:r>
    </w:p>
    <w:p>
      <w:pPr/>
      <w:r>
        <w:rPr>
          <w:sz w:val="22"/>
        </w:rPr>
        <w:t xml:space="preserve">The policy contains no express permitted-transfer exception, such as for:</w:t>
      </w:r>
    </w:p>
    <w:p>
      <w:pPr>
        <w:pStyle w:val="ListBullet"/>
      </w:pPr>
      <w:r>
        <w:rPr>
          <w:sz w:val="22"/>
        </w:rPr>
        <w:t xml:space="preserve">transfers to affiliates;</w:t>
      </w:r>
    </w:p>
    <w:p>
      <w:pPr>
        <w:pStyle w:val="ListBullet"/>
      </w:pPr>
      <w:r>
        <w:rPr>
          <w:sz w:val="22"/>
        </w:rPr>
        <w:t xml:space="preserve">internal reorganizations;</w:t>
      </w:r>
    </w:p>
    <w:p>
      <w:pPr>
        <w:pStyle w:val="ListBullet"/>
      </w:pPr>
      <w:r>
        <w:rPr>
          <w:sz w:val="22"/>
        </w:rPr>
        <w:t xml:space="preserve">transfers by operation of law;</w:t>
      </w:r>
    </w:p>
    <w:p>
      <w:pPr>
        <w:pStyle w:val="ListBullet"/>
      </w:pPr>
      <w:r>
        <w:rPr>
          <w:sz w:val="22"/>
        </w:rPr>
        <w:t xml:space="preserve">transfers in connection with a merger;</w:t>
      </w:r>
    </w:p>
    <w:p>
      <w:pPr>
        <w:pStyle w:val="ListBullet"/>
      </w:pPr>
      <w:r>
        <w:rPr>
          <w:sz w:val="22"/>
        </w:rPr>
        <w:t xml:space="preserve">transfers to a successor in an asset sale; or</w:t>
      </w:r>
    </w:p>
    <w:p>
      <w:pPr>
        <w:pStyle w:val="ListBullet"/>
      </w:pPr>
      <w:r>
        <w:rPr>
          <w:sz w:val="22"/>
        </w:rPr>
        <w:t xml:space="preserve">transfers approved by the broker.</w:t>
      </w:r>
    </w:p>
    <w:p>
      <w:pPr/>
      <w:r>
        <w:rPr>
          <w:sz w:val="22"/>
        </w:rPr>
        <w:t xml:space="preserve">Section IV.E does not carve out stock acquisitions or mergers. Section IV.F separately imposes automatic Run-Off treatment upon a Change of Control.</w:t>
      </w:r>
    </w:p>
    <w:p>
      <w:pPr/>
      <w:r>
        <w:rPr>
          <w:sz w:val="22"/>
        </w:rPr>
        <w:t xml:space="preserve">---</w:t>
      </w:r>
    </w:p>
    <w:p>
      <w:pPr>
        <w:pStyle w:val="Heading2"/>
      </w:pPr>
      <w:r>
        <w:rPr>
          <w:sz w:val="22"/>
        </w:rPr>
        <w:t xml:space="preserve">7. Consequences of a Change of Control</w:t>
      </w:r>
    </w:p>
    <w:p>
      <w:pPr/>
      <w:r>
        <w:rPr>
          <w:sz w:val="22"/>
        </w:rPr>
        <w:t xml:space="preserve">### A. Automatic conversion to Run-Off</w:t>
      </w:r>
    </w:p>
    <w:p>
      <w:pPr/>
      <w:r>
        <w:rPr>
          <w:sz w:val="22"/>
        </w:rPr>
        <w:t xml:space="preserve">Under Section IV.F.1, upon a Change of Control:</w:t>
      </w:r>
    </w:p>
    <w:p>
      <w:pPr>
        <w:pStyle w:val="ListBullet"/>
      </w:pPr>
      <w:r>
        <w:rPr>
          <w:sz w:val="22"/>
        </w:rPr>
        <w:t xml:space="preserve">the Policy automatically converts to a Run-Off Basis;</w:t>
      </w:r>
    </w:p>
    <w:p>
      <w:pPr>
        <w:pStyle w:val="ListBullet"/>
      </w:pPr>
      <w:r>
        <w:rPr>
          <w:sz w:val="22"/>
        </w:rPr>
        <w:t xml:space="preserve">conversion is effective on the date of the Change of Control;</w:t>
      </w:r>
    </w:p>
    <w:p>
      <w:pPr>
        <w:pStyle w:val="ListBullet"/>
      </w:pPr>
      <w:r>
        <w:rPr>
          <w:sz w:val="22"/>
        </w:rPr>
        <w:t xml:space="preserve">no notice or action by the Insurer is required; and</w:t>
      </w:r>
    </w:p>
    <w:p>
      <w:pPr>
        <w:pStyle w:val="ListBullet"/>
      </w:pPr>
      <w:r>
        <w:rPr>
          <w:sz w:val="22"/>
        </w:rPr>
        <w:t xml:space="preserve">coverage is limited to Claims arising from Products manufactured, sold, handled, distributed, or disposed of before the Run-Off Conversion Date.</w:t>
      </w:r>
    </w:p>
    <w:p>
      <w:pPr/>
      <w:r>
        <w:rPr>
          <w:sz w:val="22"/>
        </w:rPr>
        <w:t xml:space="preserve">There is no coverage under the Policy for Claims arising from Products manufactured, sold, handled, distributed, or disposed of on or after the Run-Off Conversion Date.</w:t>
      </w:r>
    </w:p>
    <w:p>
      <w:pPr/>
      <w:r>
        <w:rPr>
          <w:sz w:val="22"/>
        </w:rPr>
        <w:t xml:space="preserve">### B. Duration</w:t>
      </w:r>
    </w:p>
    <w:p>
      <w:pPr/>
      <w:r>
        <w:rPr>
          <w:sz w:val="22"/>
        </w:rPr>
        <w:t xml:space="preserve">Under Section IV.F.3, Run-Off coverage remains in effect for the remainder of the Policy Period.</w:t>
      </w:r>
    </w:p>
    <w:p>
      <w:pPr/>
      <w:r>
        <w:rPr>
          <w:sz w:val="22"/>
        </w:rPr>
        <w:t xml:space="preserve">The Named Insured may request an extension of up to 36 months beyond the original Policy Period, but the Insurer may refuse the request and may determine the additional premium in its sole discretion.</w:t>
      </w:r>
    </w:p>
    <w:p>
      <w:pPr/>
      <w:r>
        <w:rPr>
          <w:sz w:val="22"/>
        </w:rPr>
        <w:t xml:space="preserve">### C. No return premium</w:t>
      </w:r>
    </w:p>
    <w:p>
      <w:pPr/>
      <w:r>
        <w:rPr>
          <w:sz w:val="22"/>
        </w:rPr>
        <w:t xml:space="preserve">Under Section IV.F.4:</w:t>
      </w:r>
    </w:p>
    <w:p>
      <w:pPr/>
      <w:r>
        <w:rPr>
          <w:sz w:val="22"/>
        </w:rPr>
        <w:t xml:space="preserve">“no return premium shall be payable” for the unexpired portion of the Policy Period.</w:t>
      </w:r>
    </w:p>
    <w:p>
      <w:pPr/>
      <w:r>
        <w:rPr>
          <w:sz w:val="22"/>
        </w:rPr>
        <w:t xml:space="preserve">All premium paid or due remains fully earned by the Insurer.</w:t>
      </w:r>
    </w:p>
    <w:p>
      <w:pPr/>
      <w:r>
        <w:rPr>
          <w:sz w:val="22"/>
        </w:rPr>
        <w:t xml:space="preserve">### D. No successor coverage</w:t>
      </w:r>
    </w:p>
    <w:p>
      <w:pPr/>
      <w:r>
        <w:rPr>
          <w:sz w:val="22"/>
        </w:rPr>
        <w:t xml:space="preserve">Under Section IV.F.5, the successor, parent, or affiliate acquiring control does not receive coverage under the Policy for post-conversion Products. A new policy must be applied for and issued by the Insurer for the successor to obtain coverage.</w:t>
      </w:r>
    </w:p>
    <w:p>
      <w:pPr/>
      <w:r>
        <w:rPr>
          <w:sz w:val="22"/>
        </w:rPr>
        <w:t xml:space="preserve">### E. Tail option</w:t>
      </w:r>
    </w:p>
    <w:p>
      <w:pPr/>
      <w:r>
        <w:rPr>
          <w:sz w:val="22"/>
        </w:rPr>
        <w:t xml:space="preserve">Endorsement No. 1 gives the Named Insured the right to purchase an Extended Reporting Period following conversion to Run-Off Basis, provided written notice is given within 30 days of the triggering event.</w:t>
      </w:r>
    </w:p>
    <w:p>
      <w:pPr/>
      <w:r>
        <w:rPr>
          <w:sz w:val="22"/>
        </w:rPr>
        <w:t xml:space="preserve">Available options are:</w:t>
      </w:r>
    </w:p>
    <w:p>
      <w:pPr>
        <w:pStyle w:val="ListBullet"/>
      </w:pPr>
      <w:r>
        <w:rPr>
          <w:sz w:val="22"/>
        </w:rPr>
        <w:t xml:space="preserve">Tail period | Additional premium</w:t>
      </w:r>
    </w:p>
    <w:p>
      <w:pPr>
        <w:pStyle w:val="ListBullet"/>
      </w:pPr>
      <w:r>
        <w:rPr>
          <w:sz w:val="22"/>
        </w:rPr>
        <w:t xml:space="preserve">12 months | 75% of expiring annual premium — $365,625</w:t>
      </w:r>
    </w:p>
    <w:p>
      <w:pPr>
        <w:pStyle w:val="ListBullet"/>
      </w:pPr>
      <w:r>
        <w:rPr>
          <w:sz w:val="22"/>
        </w:rPr>
        <w:t xml:space="preserve">24 months | 125% — $609,375</w:t>
      </w:r>
    </w:p>
    <w:p>
      <w:pPr>
        <w:pStyle w:val="ListBullet"/>
      </w:pPr>
      <w:r>
        <w:rPr>
          <w:sz w:val="22"/>
        </w:rPr>
        <w:t xml:space="preserve">36 months | 175% — $853,125</w:t>
      </w:r>
    </w:p>
    <w:p>
      <w:pPr/>
      <w:r>
        <w:rPr>
          <w:sz w:val="22"/>
        </w:rPr>
        <w:t xml:space="preserve">The Tail:</w:t>
      </w:r>
    </w:p>
    <w:p>
      <w:pPr>
        <w:pStyle w:val="ListBullet"/>
      </w:pPr>
      <w:r>
        <w:rPr>
          <w:sz w:val="22"/>
        </w:rPr>
        <w:t xml:space="preserve">covers Claims first made and reported during the Tail period;</w:t>
      </w:r>
    </w:p>
    <w:p>
      <w:pPr>
        <w:pStyle w:val="ListBullet"/>
      </w:pPr>
      <w:r>
        <w:rPr>
          <w:sz w:val="22"/>
        </w:rPr>
        <w:t xml:space="preserve">applies to Products manufactured, sold, handled, distributed, or disposed of during the original Policy Period or prior consecutive policy periods with the Insurer;</w:t>
      </w:r>
    </w:p>
    <w:p>
      <w:pPr>
        <w:pStyle w:val="ListBullet"/>
      </w:pPr>
      <w:r>
        <w:rPr>
          <w:sz w:val="22"/>
        </w:rPr>
        <w:t xml:space="preserve">does not create new limits;</w:t>
      </w:r>
    </w:p>
    <w:p>
      <w:pPr>
        <w:pStyle w:val="ListBullet"/>
      </w:pPr>
      <w:r>
        <w:rPr>
          <w:sz w:val="22"/>
        </w:rPr>
        <w:t xml:space="preserve">erodes the stated aggregate limits; and</w:t>
      </w:r>
    </w:p>
    <w:p>
      <w:pPr>
        <w:pStyle w:val="ListBullet"/>
      </w:pPr>
      <w:r>
        <w:rPr>
          <w:sz w:val="22"/>
        </w:rPr>
        <w:t xml:space="preserve">does not cover Products manufactured, sold, handled, distributed, or disposed of on or after the Run-Off Conversion Date.</w:t>
      </w:r>
    </w:p>
    <w:p>
      <w:pPr/>
      <w:r>
        <w:rPr>
          <w:sz w:val="22"/>
        </w:rPr>
        <w:t xml:space="preserve">The Named Insured or its successor must procure separate product liability coverage for post-conversion Products.</w:t>
      </w:r>
    </w:p>
    <w:p>
      <w:pPr/>
      <w:r>
        <w:rPr>
          <w:sz w:val="22"/>
        </w:rPr>
        <w:t xml:space="preserve">### F. No express acquisition payment or equity remedy</w:t>
      </w:r>
    </w:p>
    <w:p>
      <w:pPr/>
      <w:r>
        <w:rPr>
          <w:sz w:val="22"/>
        </w:rPr>
        <w:t xml:space="preserve">The policy contains no:</w:t>
      </w:r>
    </w:p>
    <w:p>
      <w:pPr>
        <w:pStyle w:val="ListBullet"/>
      </w:pPr>
      <w:r>
        <w:rPr>
          <w:sz w:val="22"/>
        </w:rPr>
        <w:t xml:space="preserve">buy-out;</w:t>
      </w:r>
    </w:p>
    <w:p>
      <w:pPr>
        <w:pStyle w:val="ListBullet"/>
      </w:pPr>
      <w:r>
        <w:rPr>
          <w:sz w:val="22"/>
        </w:rPr>
        <w:t xml:space="preserve">put or call right;</w:t>
      </w:r>
    </w:p>
    <w:p>
      <w:pPr>
        <w:pStyle w:val="ListBullet"/>
      </w:pPr>
      <w:r>
        <w:rPr>
          <w:sz w:val="22"/>
        </w:rPr>
        <w:t xml:space="preserve">tag-along or drag-along right;</w:t>
      </w:r>
    </w:p>
    <w:p>
      <w:pPr>
        <w:pStyle w:val="ListBullet"/>
      </w:pPr>
      <w:r>
        <w:rPr>
          <w:sz w:val="22"/>
        </w:rPr>
        <w:t xml:space="preserve">purchase-price adjustment;</w:t>
      </w:r>
    </w:p>
    <w:p>
      <w:pPr>
        <w:pStyle w:val="ListBullet"/>
      </w:pPr>
      <w:r>
        <w:rPr>
          <w:sz w:val="22"/>
        </w:rPr>
        <w:t xml:space="preserve">acceleration provision;</w:t>
      </w:r>
    </w:p>
    <w:p>
      <w:pPr>
        <w:pStyle w:val="ListBullet"/>
      </w:pPr>
      <w:r>
        <w:rPr>
          <w:sz w:val="22"/>
        </w:rPr>
        <w:t xml:space="preserve">termination fee;</w:t>
      </w:r>
    </w:p>
    <w:p>
      <w:pPr>
        <w:pStyle w:val="ListBullet"/>
      </w:pPr>
      <w:r>
        <w:rPr>
          <w:sz w:val="22"/>
        </w:rPr>
        <w:t xml:space="preserve">damages formula; or</w:t>
      </w:r>
    </w:p>
    <w:p>
      <w:pPr>
        <w:pStyle w:val="ListBullet"/>
      </w:pPr>
      <w:r>
        <w:rPr>
          <w:sz w:val="22"/>
        </w:rPr>
        <w:t xml:space="preserve">renegotiation right</w:t>
      </w:r>
    </w:p>
    <w:p>
      <w:pPr/>
      <w:r>
        <w:rPr>
          <w:sz w:val="22"/>
        </w:rPr>
        <w:t xml:space="preserve">specifically tied to a Change of Control.</w:t>
      </w:r>
    </w:p>
    <w:p>
      <w:pPr/>
      <w:r>
        <w:rPr>
          <w:sz w:val="22"/>
        </w:rPr>
        <w:t xml:space="preserve">The Insurer may separately cancel the Policy under Section IV.G, including on 60 days’ prior written notice for reasons other than nonpayment, but that is not stated to be a Change-of-Control remedy.</w:t>
      </w:r>
    </w:p>
    <w:p>
      <w:pPr/>
      <w:r>
        <w:rPr>
          <w:sz w:val="22"/>
        </w:rPr>
        <w:t xml:space="preserve">---</w:t>
      </w:r>
    </w:p>
    <w:p>
      <w:pPr>
        <w:pStyle w:val="Heading2"/>
      </w:pPr>
      <w:r>
        <w:rPr>
          <w:sz w:val="22"/>
        </w:rPr>
        <w:t xml:space="preserve">Contract-Specific Risk Conclusion</w:t>
      </w:r>
    </w:p>
    <w:p>
      <w:pPr/>
      <w:r>
        <w:rPr>
          <w:sz w:val="22"/>
        </w:rPr>
        <w:t xml:space="preserve">The Product Liability Policy should be treated as a high-risk change-of-control item pending confirmation of executed documents, transaction structure, and any available consents or waivers. The acquisition team should use the source memo and operative sections identified above to prepare the applicable closing and post-closing workstream.</w:t>
      </w:r>
    </w:p>
    <w:p>
      <w:pPr>
        <w:pStyle w:val="Heading1"/>
      </w:pPr>
      <w:r>
        <w:rPr>
          <w:sz w:val="22"/>
        </w:rPr>
        <w:t xml:space="preserve">Conclusion and Closing Checklist</w:t>
      </w:r>
    </w:p>
    <w:p>
      <w:pPr>
        <w:pStyle w:val="ListBullet"/>
      </w:pPr>
      <w:r>
        <w:rPr>
          <w:sz w:val="22"/>
        </w:rPr>
        <w:t xml:space="preserve">Create a contract-by-contract matrix of required consents, notices, deadlines, and responsible owners.</w:t>
      </w:r>
    </w:p>
    <w:p>
      <w:pPr>
        <w:pStyle w:val="ListBullet"/>
      </w:pPr>
      <w:r>
        <w:rPr>
          <w:sz w:val="22"/>
        </w:rPr>
        <w:t xml:space="preserve">Make execution of material waivers/consents and debt refinancing or repayment closing conditions where appropriate.</w:t>
      </w:r>
    </w:p>
    <w:p>
      <w:pPr>
        <w:pStyle w:val="ListBullet"/>
      </w:pPr>
      <w:r>
        <w:rPr>
          <w:sz w:val="22"/>
        </w:rPr>
        <w:t xml:space="preserve">Confirm replacement insurance and tail/run-off coverage before closing, including coverage for post-closing products and successor entities.</w:t>
      </w:r>
    </w:p>
    <w:p>
      <w:pPr>
        <w:pStyle w:val="ListBullet"/>
      </w:pPr>
      <w:r>
        <w:rPr>
          <w:sz w:val="22"/>
        </w:rPr>
        <w:t xml:space="preserve">Confirm continued rights under licenses, leases, supply arrangements, and the joint venture; identify termination or buy-out funding requirements.</w:t>
      </w:r>
    </w:p>
    <w:p>
      <w:pPr>
        <w:pStyle w:val="ListBullet"/>
      </w:pPr>
      <w:r>
        <w:rPr>
          <w:sz w:val="22"/>
        </w:rPr>
        <w:t xml:space="preserve">Deliver all required notices in the prescribed form and method, retaining proof of delivery.</w:t>
      </w:r>
    </w:p>
    <w:p>
      <w:pPr>
        <w:pStyle w:val="ListBullet"/>
      </w:pPr>
      <w:r>
        <w:rPr>
          <w:sz w:val="22"/>
        </w:rPr>
        <w:t xml:space="preserve">Update the matrix for any amendments, side letters, purchase orders, endorsements, or post-review legal conclusions.</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sz w:val="22"/>
      <w:fonts w:ascii="Arial" w:hAnsi="Arial"/>
    </w:rPr>
  </w:style>
  <w:style w:type="paragraph" w:styleId="Heading1">
    <w:name w:val="heading 1"/>
    <w:basedOn w:val="Normal"/>
    <w:next w:val="Normal"/>
    <w:rPr>
      <w:b/>
      <w:sz w:val="30"/>
      <w:color w:val="1F4E79"/>
    </w:rPr>
  </w:style>
  <w:style w:type="paragraph" w:styleId="Heading2">
    <w:name w:val="heading 2"/>
    <w:basedOn w:val="Normal"/>
    <w:next w:val="Normal"/>
    <w:rPr>
      <w:b/>
      <w:sz w:val="25"/>
      <w:color w:val="2F5597"/>
    </w:rPr>
  </w:style>
  <w:style w:type="paragraph" w:styleId="ListBullet">
    <w:name w:val="List Bullet"/>
    <w:basedOn w:val="Normal"/>
    <w:pPr>
      <w:ind w:left="360" w:hanging="180"/>
    </w:pPr>
  </w:style>
  <w:style w:type="paragraph" w:styleId="ListBullet2">
    <w:name w:val="List Bullet 2"/>
    <w:basedOn w:val="ListBullet"/>
    <w:pPr>
      <w:ind w:left="720" w:hanging="1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