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jc w:val="center"/>
      </w:pPr>
      <w:r>
        <w:rPr/>
        <w:t xml:space="preserve">CHANGE-OF-CONTROL EXTRACTION REPORT</w:t>
      </w:r>
    </w:p>
    <w:p>
      <w:pPr>
        <w:jc w:val="center"/>
      </w:pPr>
      <w:r>
        <w:rPr>
          <w:i/>
        </w:rPr>
        <w:t xml:space="preserve">Acquisition target contract diligence</w:t>
      </w:r>
    </w:p>
    <w:p>
      <w:pPr>
        <w:jc w:val="center"/>
        <w:spacing w:after="240"/>
      </w:pPr>
      <w:r>
        <w:rPr/>
        <w:t xml:space="preserve">Prepared September 07, 2026</w:t>
      </w:r>
    </w:p>
    <w:p>
      <w:pPr>
        <w:pStyle w:val="Heading1"/>
      </w:pPr>
      <w:r>
        <w:rPr/>
        <w:t xml:space="preserve">1. Executive Summary</w:t>
      </w:r>
    </w:p>
    <w:p>
      <w:pPr/>
      <w:r>
        <w:rPr/>
        <w:t xml:space="preserve">This report reviews the eight contract and policy texts supplied for acquisition diligence. The review identifies express change-of-control provisions, related assignment and transfer restrictions, notice and consent mechanics, transaction consequences, exceptions, and practical closing actions.</w:t>
      </w:r>
    </w:p>
    <w:p>
      <w:pPr/>
      <w:r>
        <w:rPr/>
        <w:t xml:space="preserve">The portfolio presents material transaction risk. Six documents contain express change-of-control provisions with potentially significant consequences, including termination, lender default/acceleration, mandatory debt repayment, a buy-out right, supply-contract termination, or automatic insurance run-off. The remaining documents contain assignment/transfer restrictions that may still require consent or create voidness risk depending on deal structure.</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1400"/>
        <w:gridCol w:w="900"/>
        <w:gridCol w:w="6500"/>
      </w:tblGrid>
      <w:tr>
        <w:tc>
          <w:tcPr>
            <w:shd w:fill="D9EAF7"/>
          </w:tcPr>
          <w:p>
            <w:r>
              <w:rPr>
                <w:b/>
              </w:rPr>
              <w:t xml:space="preserve">Risk rating</w:t>
            </w:r>
          </w:p>
        </w:tc>
        <w:tc>
          <w:tcPr>
            <w:shd w:fill="D9EAF7"/>
          </w:tcPr>
          <w:p>
            <w:r>
              <w:rPr>
                <w:b/>
              </w:rPr>
              <w:t xml:space="preserve">Contracts</w:t>
            </w:r>
          </w:p>
        </w:tc>
        <w:tc>
          <w:tcPr>
            <w:shd w:fill="D9EAF7"/>
          </w:tcPr>
          <w:p>
            <w:r>
              <w:rPr>
                <w:b/>
              </w:rPr>
              <w:t xml:space="preserve">Diligence implication</w:t>
            </w:r>
          </w:p>
        </w:tc>
      </w:tr>
      <w:tr>
        <w:tc>
          <w:tcPr/>
          <w:p>
            <w:r>
              <w:rPr/>
              <w:t xml:space="preserve">High</w:t>
            </w:r>
          </w:p>
        </w:tc>
        <w:tc>
          <w:tcPr/>
          <w:p>
            <w:r>
              <w:rPr/>
              <w:t xml:space="preserve">7</w:t>
            </w:r>
          </w:p>
        </w:tc>
        <w:tc>
          <w:tcPr/>
          <w:p>
            <w:r>
              <w:rPr/>
              <w:t xml:space="preserve">Prioritize consent, waiver, replacement coverage, financing, or mitigation before signing/closing.</w:t>
            </w:r>
          </w:p>
        </w:tc>
      </w:tr>
      <w:tr>
        <w:tc>
          <w:tcPr/>
          <w:p>
            <w:r>
              <w:rPr/>
              <w:t xml:space="preserve">Medium</w:t>
            </w:r>
          </w:p>
        </w:tc>
        <w:tc>
          <w:tcPr/>
          <w:p>
            <w:r>
              <w:rPr/>
              <w:t xml:space="preserve">1</w:t>
            </w:r>
          </w:p>
        </w:tc>
        <w:tc>
          <w:tcPr/>
          <w:p>
            <w:r>
              <w:rPr/>
              <w:t xml:space="preserve">Analyze structure and obtain consent/waiver where the transaction could be treated as an assignment.</w:t>
            </w:r>
          </w:p>
        </w:tc>
      </w:tr>
    </w:tbl>
    <w:p>
      <w:pPr>
        <w:pStyle w:val="Heading1"/>
      </w:pPr>
      <w:r>
        <w:rPr/>
        <w:t xml:space="preserve">2. Portfolio-Level Key Issues</w:t>
      </w:r>
    </w:p>
    <w:p>
      <w:pPr>
        <w:pStyle w:val="ListBullet"/>
      </w:pPr>
      <w:r>
        <w:rPr/>
        <w:t xml:space="preserve">Financing: the Summit credit agreement has separate 35% and more-than-50% thresholds, with the lower threshold capable of producing an Event of Default and acceleration.</w:t>
      </w:r>
    </w:p>
    <w:p>
      <w:pPr>
        <w:pStyle w:val="ListBullet"/>
      </w:pPr>
      <w:r>
        <w:rPr/>
        <w:t xml:space="preserve">Technology license: the Hendricks agreement permits immediate termination and treats a Change of Control as an assignment requiring prior written consent that may be withheld in sole and absolute discretion.</w:t>
      </w:r>
    </w:p>
    <w:p>
      <w:pPr>
        <w:pStyle w:val="ListBullet"/>
      </w:pPr>
      <w:r>
        <w:rPr/>
        <w:t xml:space="preserve">Joint venture: the Apex-Kenji agreement does not require consent to a Member-level Change of Control, but gives the non-affected Member a right to buy all of the affected Member’s JV interest at a formula price.</w:t>
      </w:r>
    </w:p>
    <w:p>
      <w:pPr>
        <w:pStyle w:val="ListBullet"/>
      </w:pPr>
      <w:r>
        <w:rPr/>
        <w:t xml:space="preserve">Insurance: the product-liability policy automatically converts to run-off upon Change of Control, excludes post-closing products from the existing policy, and does not automatically cover a successor or buyer.</w:t>
      </w:r>
    </w:p>
    <w:p>
      <w:pPr>
        <w:pStyle w:val="ListBullet"/>
      </w:pPr>
      <w:r>
        <w:rPr/>
        <w:t xml:space="preserve">Supply relationship: PacWest may terminate following a Change of Control after the applicable notice/consent period, creating continuity and minimum-purchase exposure.</w:t>
      </w:r>
    </w:p>
    <w:p>
      <w:pPr>
        <w:pStyle w:val="ListBullet"/>
      </w:pPr>
      <w:r>
        <w:rPr/>
        <w:t xml:space="preserve">Lease and MSA: even where no express change-of-control clause appears, assignment, merger, asset-transfer, or affiliate-transfer language must be analyzed against the proposed transaction structure.</w:t>
      </w:r>
    </w:p>
    <w:p>
      <w:pPr>
        <w:pStyle w:val="Heading1"/>
      </w:pPr>
      <w:r>
        <w:rPr/>
        <w:t xml:space="preserve">3. Recommended Transaction Workplan</w:t>
      </w:r>
    </w:p>
    <w:p>
      <w:pPr>
        <w:pStyle w:val="ListBullet"/>
      </w:pPr>
      <w:r>
        <w:rPr/>
        <w:t xml:space="preserve">Prepare a transaction-structure matrix covering stock purchase, merger, triangular merger, asset purchase, internal reorganization, and post-closing transfers.</w:t>
      </w:r>
    </w:p>
    <w:p>
      <w:pPr>
        <w:pStyle w:val="ListBullet"/>
      </w:pPr>
      <w:r>
        <w:rPr/>
        <w:t xml:space="preserve">Obtain lender, licensor, insurer, landlord, supplier, and MSA counterparty consents or written waivers where required; do not rely on silence as consent.</w:t>
      </w:r>
    </w:p>
    <w:p>
      <w:pPr>
        <w:pStyle w:val="ListBullet"/>
      </w:pPr>
      <w:r>
        <w:rPr/>
        <w:t xml:space="preserve">Calendar all notice windows and closing deliverables, including the 5-, 10-, 15-, 30-, 60-, and 90-day periods identified below.</w:t>
      </w:r>
    </w:p>
    <w:p>
      <w:pPr>
        <w:pStyle w:val="ListBullet"/>
      </w:pPr>
      <w:r>
        <w:rPr/>
        <w:t xml:space="preserve">Model economic consequences: debt repayment and acceleration, JV buy-out price, supply termination and minimum-purchase obligations, insurance tail/run-off costs, and replacement coverage.</w:t>
      </w:r>
    </w:p>
    <w:p>
      <w:pPr>
        <w:pStyle w:val="ListBullet"/>
      </w:pPr>
      <w:r>
        <w:rPr/>
        <w:t xml:space="preserve">Review all amendments, purchase orders, waivers, side letters, renewal notices, open claims, and defaults because the supplied texts may not be the complete operative record.</w:t>
      </w:r>
    </w:p>
    <w:p>
      <w:pPr>
        <w:pStyle w:val="ListBullet"/>
      </w:pPr>
      <w:r>
        <w:rPr/>
        <w:t xml:space="preserve">Have transaction counsel confirm governing-law effects, enforceability, and whether a particular acquisition structure constitutes an assignment or change of control.</w:t>
      </w:r>
    </w:p>
    <w:p>
      <w:pPr>
        <w:pStyle w:val="Heading1"/>
      </w:pPr>
      <w:r>
        <w:rPr/>
        <w:t xml:space="preserve">4. Contract-by-Contract Extraction</w:t>
      </w:r>
    </w:p>
    <w:p>
      <w:pPr/>
      <w:r>
        <w:rPr/>
        <w:t xml:space="preserve">The following summaries are based on the supplied text files and the identified provisions. Risk ratings are transaction-diligence ratings, not legal opinions.</w:t>
      </w:r>
    </w:p>
    <w:p>
      <w:pPr>
        <w:pStyle w:val="Heading2"/>
      </w:pPr>
      <w:r>
        <w:rPr/>
        <w:t xml:space="preserve">1. apex-kenji-jv-agreement.docx.txt</w:t>
      </w:r>
    </w:p>
    <w:p>
      <w:pPr/>
      <w:r>
        <w:rPr/>
        <w:t xml:space="preserve">Contract type: Joint venture agreement</w:t>
      </w:r>
    </w:p>
    <w:p>
      <w:pPr/>
      <w:r>
        <w:rPr/>
        <w:t xml:space="preserve">Target / named party: Apex Industrial Technologies, Inc. or Kenji Valve Co., Ltd.; also Apex-Kenji Precision JV, LLC</w:t>
      </w:r>
    </w:p>
    <w:p>
      <w:pPr/>
      <w:r>
        <w:rPr>
          <w:b/>
        </w:rPr>
        <w:t xml:space="preserve">Risk rating: High</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2100"/>
        <w:gridCol w:w="6700"/>
      </w:tblGrid>
      <w:tr>
        <w:tc>
          <w:tcPr>
            <w:shd w:fill="D9EAF7"/>
          </w:tcPr>
          <w:p>
            <w:r>
              <w:rPr>
                <w:b/>
              </w:rPr>
              <w:t xml:space="preserve">Topic</w:t>
            </w:r>
          </w:p>
        </w:tc>
        <w:tc>
          <w:tcPr>
            <w:shd w:fill="D9EAF7"/>
          </w:tcPr>
          <w:p>
            <w:r>
              <w:rPr>
                <w:b/>
              </w:rPr>
              <w:t xml:space="preserve">Extraction</w:t>
            </w:r>
          </w:p>
        </w:tc>
      </w:tr>
      <w:tr>
        <w:tc>
          <w:tcPr/>
          <w:p>
            <w:r>
              <w:rPr/>
              <w:t xml:space="preserve">Express change of control</w:t>
            </w:r>
          </w:p>
        </w:tc>
        <w:tc>
          <w:tcPr/>
          <w:p>
            <w:r>
              <w:rPr/>
              <w:t xml:space="preserve">Yes—Article XII, Sections 12.1–12.4.</w:t>
            </w:r>
          </w:p>
        </w:tc>
      </w:tr>
      <w:tr>
        <w:tc>
          <w:tcPr/>
          <w:p>
            <w:r>
              <w:rPr/>
              <w:t xml:space="preserve">Triggers / thresholds</w:t>
            </w:r>
          </w:p>
        </w:tc>
        <w:tc>
          <w:tcPr/>
          <w:p>
            <w:r>
              <w:rPr/>
              <w:t xml:space="preserve">Article I covers direct or indirect acquisition by a person or group acting in concert of 50% or more of a Member’s voting equity, by purchase, merger, consolidation, recapitalization, reorganization, or otherwise, or any transaction changing management-direction power. Existing Affiliates as of the Effective Date are excluded.</w:t>
            </w:r>
          </w:p>
        </w:tc>
      </w:tr>
      <w:tr>
        <w:tc>
          <w:tcPr/>
          <w:p>
            <w:r>
              <w:rPr/>
              <w:t xml:space="preserve">Consent / notice</w:t>
            </w:r>
          </w:p>
        </w:tc>
        <w:tc>
          <w:tcPr/>
          <w:p>
            <w:r>
              <w:rPr/>
              <w:t xml:space="preserve">Section 12.2 says Member-level Change of Control is not a Transfer and does not require non-affected Member consent. Notice is due within 10 business days after definitive agreement and within 5 business days after consummation. Section 6.3 requires unanimous Manager approval for specified Company transactions.</w:t>
            </w:r>
          </w:p>
        </w:tc>
      </w:tr>
      <w:tr>
        <w:tc>
          <w:tcPr/>
          <w:p>
            <w:r>
              <w:rPr/>
              <w:t xml:space="preserve">Consequences</w:t>
            </w:r>
          </w:p>
        </w:tc>
        <w:tc>
          <w:tcPr/>
          <w:p>
            <w:r>
              <w:rPr/>
              <w:t xml:space="preserve">Under Section 12.3, the non-affected Member may buy all, but not less than all, of the affected Member’s interest within 90 days after consummation notice, at 4.5x applicable trailing-twelve-month EBITDA, closing within 60 days. Section 12.4 requires successor obligations and joinder within 30 days. No automatic termination.</w:t>
            </w:r>
          </w:p>
        </w:tc>
      </w:tr>
      <w:tr>
        <w:tc>
          <w:tcPr/>
          <w:p>
            <w:r>
              <w:rPr/>
              <w:t xml:space="preserve">Exceptions / permitted transfers</w:t>
            </w:r>
          </w:p>
        </w:tc>
        <w:tc>
          <w:tcPr/>
          <w:p>
            <w:r>
              <w:rPr/>
              <w:t xml:space="preserve">No buy-out applies if, within 30 days after closing, the Successor Entity commits to retain the existing CEO and CTO and its consolidated annual fluid-control-product revenue exceeds $500 million. Section 11.2 permits wholly-owned Affiliate transfers subject to guarantee and joinder.</w:t>
            </w:r>
          </w:p>
        </w:tc>
      </w:tr>
      <w:tr>
        <w:tc>
          <w:tcPr/>
          <w:p>
            <w:r>
              <w:rPr/>
              <w:t xml:space="preserve">Recommended action</w:t>
            </w:r>
          </w:p>
        </w:tc>
        <w:tc>
          <w:tcPr/>
          <w:p>
            <w:r>
              <w:rPr/>
              <w:t xml:space="preserve">Model the 4.5x EBITDA buy-out price; assess the $500 million and management-retention carve-out; review direct JV-interest transfers under Sections 11.1–11.4; confirm existing Affiliates; seek a waiver or amendment; and obtain unanimous approvals for any Company-level transaction under Section 6.3.</w:t>
            </w:r>
          </w:p>
        </w:tc>
      </w:tr>
    </w:tbl>
    <w:p>
      <w:pPr/>
      <w:r>
        <w:rPr/>
        <w:t xml:space="preserve"/>
      </w:r>
    </w:p>
    <w:p>
      <w:pPr>
        <w:pStyle w:val="Heading2"/>
      </w:pPr>
      <w:r>
        <w:rPr/>
        <w:t xml:space="preserve">2. credit-agreement-summit.docx.txt</w:t>
      </w:r>
    </w:p>
    <w:p>
      <w:pPr/>
      <w:r>
        <w:rPr/>
        <w:t xml:space="preserve">Contract type: Credit agreement</w:t>
      </w:r>
    </w:p>
    <w:p>
      <w:pPr/>
      <w:r>
        <w:rPr/>
        <w:t xml:space="preserve">Target / named party: Borrower</w:t>
      </w:r>
    </w:p>
    <w:p>
      <w:pPr/>
      <w:r>
        <w:rPr>
          <w:b/>
        </w:rPr>
        <w:t xml:space="preserve">Risk rating: High</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2100"/>
        <w:gridCol w:w="6700"/>
      </w:tblGrid>
      <w:tr>
        <w:tc>
          <w:tcPr>
            <w:shd w:fill="D9EAF7"/>
          </w:tcPr>
          <w:p>
            <w:r>
              <w:rPr>
                <w:b/>
              </w:rPr>
              <w:t xml:space="preserve">Topic</w:t>
            </w:r>
          </w:p>
        </w:tc>
        <w:tc>
          <w:tcPr>
            <w:shd w:fill="D9EAF7"/>
          </w:tcPr>
          <w:p>
            <w:r>
              <w:rPr>
                <w:b/>
              </w:rPr>
              <w:t xml:space="preserve">Extraction</w:t>
            </w:r>
          </w:p>
        </w:tc>
      </w:tr>
      <w:tr>
        <w:tc>
          <w:tcPr/>
          <w:p>
            <w:r>
              <w:rPr/>
              <w:t xml:space="preserve">Express change of control</w:t>
            </w:r>
          </w:p>
        </w:tc>
        <w:tc>
          <w:tcPr/>
          <w:p>
            <w:r>
              <w:rPr/>
              <w:t xml:space="preserve">Yes—Section 1.01 defines Change of Control; Section 8.01(j) separately defines Change in Control.</w:t>
            </w:r>
          </w:p>
        </w:tc>
      </w:tr>
      <w:tr>
        <w:tc>
          <w:tcPr/>
          <w:p>
            <w:r>
              <w:rPr/>
              <w:t xml:space="preserve">Triggers / thresholds</w:t>
            </w:r>
          </w:p>
        </w:tc>
        <w:tc>
          <w:tcPr/>
          <w:p>
            <w:r>
              <w:rPr/>
              <w:t xml:space="preserve">Section 1.01: more than 50% beneficial ownership of Borrower voting stock, or failure to own 100% of Subsidiaries, except at least 51% of Apex-Kenji Precision JV, LLC. Section 8.01(j): more than 35% beneficial ownership or incumbent directors cease to be a Board majority.</w:t>
            </w:r>
          </w:p>
        </w:tc>
      </w:tr>
      <w:tr>
        <w:tc>
          <w:tcPr/>
          <w:p>
            <w:r>
              <w:rPr/>
              <w:t xml:space="preserve">Consent / notice</w:t>
            </w:r>
          </w:p>
        </w:tc>
        <w:tc>
          <w:tcPr/>
          <w:p>
            <w:r>
              <w:rPr/>
              <w:t xml:space="preserve">No express pre-closing equity-acquisition consent. Notice is due within 5 Business Days under Sections 2.09(d) and 5.07(c). A permitted surviving-Borrower merger requires 10 Business Days’ advance notice, certification, and supporting documents under Section 6.03. Amendments to change-of-control provisions require each Lender’s written consent under Section 10.02(e).</w:t>
            </w:r>
          </w:p>
        </w:tc>
      </w:tr>
      <w:tr>
        <w:tc>
          <w:tcPr/>
          <w:p>
            <w:r>
              <w:rPr/>
              <w:t xml:space="preserve">Consequences</w:t>
            </w:r>
          </w:p>
        </w:tc>
        <w:tc>
          <w:tcPr/>
          <w:p>
            <w:r>
              <w:rPr/>
              <w:t xml:space="preserve">A Section 1.01 Change of Control requires full Revolving Loan prepayment within 30 days, accrued interest and other amounts, and automatic commitment termination under Section 2.09(d). A Section 8.01(j) Change in Control is an Event of Default; Section 8.02 permits commitment termination and acceleration.</w:t>
            </w:r>
          </w:p>
        </w:tc>
      </w:tr>
      <w:tr>
        <w:tc>
          <w:tcPr/>
          <w:p>
            <w:r>
              <w:rPr/>
              <w:t xml:space="preserve">Exceptions / permitted transfers</w:t>
            </w:r>
          </w:p>
        </w:tc>
        <w:tc>
          <w:tcPr/>
          <w:p>
            <w:r>
              <w:rPr/>
              <w:t xml:space="preserve">Section 6.03 permits specified internal Subsidiary mergers and certain surviving-Borrower transactions if no Default or Event of Default exists or results and notice/certification requirements are met, but does not limit Sections 2.09(d) or 8.01(j). The JV ownership exception permits at least 51%.</w:t>
            </w:r>
          </w:p>
        </w:tc>
      </w:tr>
      <w:tr>
        <w:tc>
          <w:tcPr/>
          <w:p>
            <w:r>
              <w:rPr/>
              <w:t xml:space="preserve">Recommended action</w:t>
            </w:r>
          </w:p>
        </w:tc>
        <w:tc>
          <w:tcPr/>
          <w:p>
            <w:r>
              <w:rPr/>
              <w:t xml:space="preserve">Confirm voting ownership, board changes, subsidiary ownership, current debt, and transaction structure. Seek lender waivers or amendments before signing or closing; obtain each Lender’s consent where Section 10.02(e) applies; and satisfy Section 6.03 procedures for any merger.</w:t>
            </w:r>
          </w:p>
        </w:tc>
      </w:tr>
    </w:tbl>
    <w:p>
      <w:pPr/>
      <w:r>
        <w:rPr/>
        <w:t xml:space="preserve"/>
      </w:r>
    </w:p>
    <w:p>
      <w:pPr>
        <w:pStyle w:val="Heading2"/>
      </w:pPr>
      <w:r>
        <w:rPr/>
        <w:t xml:space="preserve">3. hendricks-license-agreement.docx.txt</w:t>
      </w:r>
    </w:p>
    <w:p>
      <w:pPr/>
      <w:r>
        <w:rPr/>
        <w:t xml:space="preserve">Contract type: Technology license agreement</w:t>
      </w:r>
    </w:p>
    <w:p>
      <w:pPr/>
      <w:r>
        <w:rPr/>
        <w:t xml:space="preserve">Target / named party: Licensee: Apex Industrial Technologies, Inc.; counterparty: Hendricks</w:t>
      </w:r>
    </w:p>
    <w:p>
      <w:pPr/>
      <w:r>
        <w:rPr>
          <w:b/>
        </w:rPr>
        <w:t xml:space="preserve">Risk rating: High</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2100"/>
        <w:gridCol w:w="6700"/>
      </w:tblGrid>
      <w:tr>
        <w:tc>
          <w:tcPr>
            <w:shd w:fill="D9EAF7"/>
          </w:tcPr>
          <w:p>
            <w:r>
              <w:rPr>
                <w:b/>
              </w:rPr>
              <w:t xml:space="preserve">Topic</w:t>
            </w:r>
          </w:p>
        </w:tc>
        <w:tc>
          <w:tcPr>
            <w:shd w:fill="D9EAF7"/>
          </w:tcPr>
          <w:p>
            <w:r>
              <w:rPr>
                <w:b/>
              </w:rPr>
              <w:t xml:space="preserve">Extraction</w:t>
            </w:r>
          </w:p>
        </w:tc>
      </w:tr>
      <w:tr>
        <w:tc>
          <w:tcPr/>
          <w:p>
            <w:r>
              <w:rPr/>
              <w:t xml:space="preserve">Express change of control</w:t>
            </w:r>
          </w:p>
        </w:tc>
        <w:tc>
          <w:tcPr/>
          <w:p>
            <w:r>
              <w:rPr/>
              <w:t xml:space="preserve">Yes—Sections 1.3 and 9.1, with deemed assignment under Section 10.1.</w:t>
            </w:r>
          </w:p>
        </w:tc>
      </w:tr>
      <w:tr>
        <w:tc>
          <w:tcPr/>
          <w:p>
            <w:r>
              <w:rPr/>
              <w:t xml:space="preserve">Triggers / thresholds</w:t>
            </w:r>
          </w:p>
        </w:tc>
        <w:tc>
          <w:tcPr/>
          <w:p>
            <w:r>
              <w:rPr/>
              <w:t xml:space="preserve">Section 1.3 covers any merger, consolidation, or reorganization; sale or disposition of all or substantially all Licensee assets; acquisition of more than 50% of voting securities; or any transaction changing ultimate control, including forward, reverse, and triangular mergers.</w:t>
            </w:r>
          </w:p>
        </w:tc>
      </w:tr>
      <w:tr>
        <w:tc>
          <w:tcPr/>
          <w:p>
            <w:r>
              <w:rPr/>
              <w:t xml:space="preserve">Consent / notice</w:t>
            </w:r>
          </w:p>
        </w:tc>
        <w:tc>
          <w:tcPr/>
          <w:p>
            <w:r>
              <w:rPr/>
              <w:t xml:space="preserve">Section 10.1 requires Hendricks’ prior written consent, which may be withheld in its sole and absolute discretion; Change of Control is deemed an assignment by operation of law. Section 9.1 permits immediate termination by written notice, without prior notice, cure period, or required justification.</w:t>
            </w:r>
          </w:p>
        </w:tc>
      </w:tr>
      <w:tr>
        <w:tc>
          <w:tcPr/>
          <w:p>
            <w:r>
              <w:rPr/>
              <w:t xml:space="preserve">Consequences</w:t>
            </w:r>
          </w:p>
        </w:tc>
        <w:tc>
          <w:tcPr/>
          <w:p>
            <w:r>
              <w:rPr/>
              <w:t xml:space="preserve">Hendricks may terminate immediately. Under Section 9.5, all license rights cease; Apex must stop use and return or destroy technology and documentation within 30 days; accrued fees and royalties become immediately due; and only a 90-day sell-off of fully manufactured inventory is permitted, with no new manufacture.</w:t>
            </w:r>
          </w:p>
        </w:tc>
      </w:tr>
      <w:tr>
        <w:tc>
          <w:tcPr/>
          <w:p>
            <w:r>
              <w:rPr/>
              <w:t xml:space="preserve">Exceptions / permitted transfers</w:t>
            </w:r>
          </w:p>
        </w:tc>
        <w:tc>
          <w:tcPr/>
          <w:p>
            <w:r>
              <w:rPr/>
              <w:t xml:space="preserve">No Apex Affiliate, internal-reorganization, successor, or surviving-entity safe harbor. Section 10.2 permits Hendricks to assign to a successor or acquirer of related assets or business upon written notice. No grandfathering or automatic continuation exists.</w:t>
            </w:r>
          </w:p>
        </w:tc>
      </w:tr>
      <w:tr>
        <w:tc>
          <w:tcPr/>
          <w:p>
            <w:r>
              <w:rPr/>
              <w:t xml:space="preserve">Recommended action</w:t>
            </w:r>
          </w:p>
        </w:tc>
        <w:tc>
          <w:tcPr/>
          <w:p>
            <w:r>
              <w:rPr/>
              <w:t xml:space="preserve">Obtain Hendricks’ written consent and waiver of Sections 9.1 and 10.1 before signing or closing. Seek continued-license and successor-transfer protections, review inventory and production dependence, verify accrued royalties, and check for existing amendments, waivers, or termination notices.</w:t>
            </w:r>
          </w:p>
        </w:tc>
      </w:tr>
    </w:tbl>
    <w:p>
      <w:pPr/>
      <w:r>
        <w:rPr/>
        <w:t xml:space="preserve"/>
      </w:r>
    </w:p>
    <w:p>
      <w:pPr>
        <w:pStyle w:val="Heading2"/>
      </w:pPr>
      <w:r>
        <w:rPr/>
        <w:t xml:space="preserve">4. hesse-employment-agreement.docx.txt</w:t>
      </w:r>
    </w:p>
    <w:p>
      <w:pPr/>
      <w:r>
        <w:rPr/>
        <w:t xml:space="preserve">Contract type: Employment agreement</w:t>
      </w:r>
    </w:p>
    <w:p>
      <w:pPr/>
      <w:r>
        <w:rPr/>
        <w:t xml:space="preserve">Target / named party: Executive under the agreement</w:t>
      </w:r>
    </w:p>
    <w:p>
      <w:pPr/>
      <w:r>
        <w:rPr>
          <w:b/>
        </w:rPr>
        <w:t xml:space="preserve">Risk rating: High</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2100"/>
        <w:gridCol w:w="6700"/>
      </w:tblGrid>
      <w:tr>
        <w:tc>
          <w:tcPr>
            <w:shd w:fill="D9EAF7"/>
          </w:tcPr>
          <w:p>
            <w:r>
              <w:rPr>
                <w:b/>
              </w:rPr>
              <w:t xml:space="preserve">Topic</w:t>
            </w:r>
          </w:p>
        </w:tc>
        <w:tc>
          <w:tcPr>
            <w:shd w:fill="D9EAF7"/>
          </w:tcPr>
          <w:p>
            <w:r>
              <w:rPr>
                <w:b/>
              </w:rPr>
              <w:t xml:space="preserve">Extraction</w:t>
            </w:r>
          </w:p>
        </w:tc>
      </w:tr>
      <w:tr>
        <w:tc>
          <w:tcPr/>
          <w:p>
            <w:r>
              <w:rPr/>
              <w:t xml:space="preserve">Express change of control</w:t>
            </w:r>
          </w:p>
        </w:tc>
        <w:tc>
          <w:tcPr/>
          <w:p>
            <w:r>
              <w:rPr/>
              <w:t xml:space="preserve">Yes—Section 1 and Sections 5.1–5.5; Exhibit A addresses the proposed merger.</w:t>
            </w:r>
          </w:p>
        </w:tc>
      </w:tr>
      <w:tr>
        <w:tc>
          <w:tcPr/>
          <w:p>
            <w:r>
              <w:rPr/>
              <w:t xml:space="preserve">Triggers / thresholds</w:t>
            </w:r>
          </w:p>
        </w:tc>
        <w:tc>
          <w:tcPr/>
          <w:p>
            <w:r>
              <w:rPr/>
              <w:t xml:space="preserve">Section 1 covers mergers or similar combinations where the Company is not surviving or pre-transaction voting holders retain less than 50%; sale of substantially all assets; acquisition of more than 50% voting power; or incumbent directors cease to be a Board majority during any 24-month period.</w:t>
            </w:r>
          </w:p>
        </w:tc>
      </w:tr>
      <w:tr>
        <w:tc>
          <w:tcPr/>
          <w:p>
            <w:r>
              <w:rPr/>
              <w:t xml:space="preserve">Consent / notice</w:t>
            </w:r>
          </w:p>
        </w:tc>
        <w:tc>
          <w:tcPr/>
          <w:p>
            <w:r>
              <w:rPr/>
              <w:t xml:space="preserve">Company must give written notice of an anticipated Change of Control at least 15 business days before expected consummation under Section 5.1. Executive has no general transaction veto. Amendments or waivers require both signatures under Section 8.2. Exhibit A leaves Section 5.4 unwaived pending good-faith negotiations.</w:t>
            </w:r>
          </w:p>
        </w:tc>
      </w:tr>
      <w:tr>
        <w:tc>
          <w:tcPr/>
          <w:p>
            <w:r>
              <w:rPr/>
              <w:t xml:space="preserve">Consequences</w:t>
            </w:r>
          </w:p>
        </w:tc>
        <w:tc>
          <w:tcPr/>
          <w:p>
            <w:r>
              <w:rPr/>
              <w:t xml:space="preserve">Section 5.4 automatically accelerates all unvested Equity Awards at closing. Section 5.3 provides double-trigger severance within 24 months: 2.0x salary plus target bonus, initially $1,232,000, 24 months’ health coverage, pro rata bonus, and remaining equity acceleration. Employment remains at-will.</w:t>
            </w:r>
          </w:p>
        </w:tc>
      </w:tr>
      <w:tr>
        <w:tc>
          <w:tcPr/>
          <w:p>
            <w:r>
              <w:rPr/>
              <w:t xml:space="preserve">Exceptions / permitted transfers</w:t>
            </w:r>
          </w:p>
        </w:tc>
        <w:tc>
          <w:tcPr/>
          <w:p>
            <w:r>
              <w:rPr/>
              <w:t xml:space="preserve">No broad exception for rollover equity, affiliates, internal reorganizations, or continued employment. A successor may assume the agreement under Section 8.3. Exhibit A identifies 45,000 unvested RSUs and approximately $967,230 estimated accelerated value but does not resolve the rollover conflict.</w:t>
            </w:r>
          </w:p>
        </w:tc>
      </w:tr>
      <w:tr>
        <w:tc>
          <w:tcPr/>
          <w:p>
            <w:r>
              <w:rPr/>
              <w:t xml:space="preserve">Recommended action</w:t>
            </w:r>
          </w:p>
        </w:tc>
        <w:tc>
          <w:tcPr/>
          <w:p>
            <w:r>
              <w:rPr/>
              <w:t xml:space="preserve">Review the merger agreement, Schedule 7.03(c), award documents, plans, and award ledger. Obtain a signed amendment or waiver if rollover is intended; confirm notice, successor assumption, 280G treatment, release mechanics, and potential Good Reason claims.</w:t>
            </w:r>
          </w:p>
        </w:tc>
      </w:tr>
    </w:tbl>
    <w:p>
      <w:pPr/>
      <w:r>
        <w:rPr/>
        <w:t xml:space="preserve"/>
      </w:r>
    </w:p>
    <w:p>
      <w:pPr>
        <w:pStyle w:val="Heading2"/>
      </w:pPr>
      <w:r>
        <w:rPr/>
        <w:t xml:space="preserve">5. hq-lease-crescent-ridge.docx.txt</w:t>
      </w:r>
    </w:p>
    <w:p>
      <w:pPr/>
      <w:r>
        <w:rPr/>
        <w:t xml:space="preserve">Contract type: Commercial lease</w:t>
      </w:r>
    </w:p>
    <w:p>
      <w:pPr/>
      <w:r>
        <w:rPr/>
        <w:t xml:space="preserve">Target / named party: Tenant: Apex Industrial Technologies, Inc.; Landlord: Crescent Ridge Realty Partners, LP</w:t>
      </w:r>
    </w:p>
    <w:p>
      <w:pPr/>
      <w:r>
        <w:rPr>
          <w:b/>
        </w:rPr>
        <w:t xml:space="preserve">Risk rating: High</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2100"/>
        <w:gridCol w:w="6700"/>
      </w:tblGrid>
      <w:tr>
        <w:tc>
          <w:tcPr>
            <w:shd w:fill="D9EAF7"/>
          </w:tcPr>
          <w:p>
            <w:r>
              <w:rPr>
                <w:b/>
              </w:rPr>
              <w:t xml:space="preserve">Topic</w:t>
            </w:r>
          </w:p>
        </w:tc>
        <w:tc>
          <w:tcPr>
            <w:shd w:fill="D9EAF7"/>
          </w:tcPr>
          <w:p>
            <w:r>
              <w:rPr>
                <w:b/>
              </w:rPr>
              <w:t xml:space="preserve">Extraction</w:t>
            </w:r>
          </w:p>
        </w:tc>
      </w:tr>
      <w:tr>
        <w:tc>
          <w:tcPr/>
          <w:p>
            <w:r>
              <w:rPr/>
              <w:t xml:space="preserve">Express change of control</w:t>
            </w:r>
          </w:p>
        </w:tc>
        <w:tc>
          <w:tcPr/>
          <w:p>
            <w:r>
              <w:rPr/>
              <w:t xml:space="preserve">Yes—Section 22.2 treats a change of control as a Deemed Assignment.</w:t>
            </w:r>
          </w:p>
        </w:tc>
      </w:tr>
      <w:tr>
        <w:tc>
          <w:tcPr/>
          <w:p>
            <w:r>
              <w:rPr/>
              <w:t xml:space="preserve">Triggers / thresholds</w:t>
            </w:r>
          </w:p>
        </w:tc>
        <w:tc>
          <w:tcPr/>
          <w:p>
            <w:r>
              <w:rPr/>
              <w:t xml:space="preserve">Section 22.2 covers any change in Tenant control, controlling-equity transfer, equity issuance or redemption changing the controlling person or group, sale of all or substantially all assets, and direct or indirect transactions including forward, reverse, or triangular mergers, share exchanges, asset acquisitions, recapitalizations, and similar combinations.</w:t>
            </w:r>
          </w:p>
        </w:tc>
      </w:tr>
      <w:tr>
        <w:tc>
          <w:tcPr/>
          <w:p>
            <w:r>
              <w:rPr/>
              <w:t xml:space="preserve">Consent / notice</w:t>
            </w:r>
          </w:p>
        </w:tc>
        <w:tc>
          <w:tcPr/>
          <w:p>
            <w:r>
              <w:rPr/>
              <w:t xml:space="preserve">Prior Landlord written consent is required under Sections 22.1–22.2. Request must be submitted at least 30 days before effectiveness with specified financial and transaction information. Landlord has 20 business days to respond; silence is deemed denial. Consent cannot be unreasonably withheld, subject to specified reasonable grounds.</w:t>
            </w:r>
          </w:p>
        </w:tc>
      </w:tr>
      <w:tr>
        <w:tc>
          <w:tcPr/>
          <w:p>
            <w:r>
              <w:rPr/>
              <w:t xml:space="preserve">Consequences</w:t>
            </w:r>
          </w:p>
        </w:tc>
        <w:tc>
          <w:tcPr/>
          <w:p>
            <w:r>
              <w:rPr/>
              <w:t xml:space="preserve">Unauthorized transfer is void and an Event of Default. Landlord may terminate on at least 120 days’ notice, charge an Early Termination Fee of $3,240,000, recapture with at least 60 days’ notice, and pursue Section 12.2 remedies including repossession and rent acceleration. Renewal rights remain personal absent consent.</w:t>
            </w:r>
          </w:p>
        </w:tc>
      </w:tr>
      <w:tr>
        <w:tc>
          <w:tcPr/>
          <w:p>
            <w:r>
              <w:rPr/>
              <w:t xml:space="preserve">Exceptions / permitted transfers</w:t>
            </w:r>
          </w:p>
        </w:tc>
        <w:tc>
          <w:tcPr/>
          <w:p>
            <w:r>
              <w:rPr/>
              <w:t xml:space="preserve">No Affiliate, internal-reorganization, successor, or grandfathering exception. Section 27.7 subjects successors and permitted assigns to Section 22. Prior consent does not waive consent for later transfers.</w:t>
            </w:r>
          </w:p>
        </w:tc>
      </w:tr>
      <w:tr>
        <w:tc>
          <w:tcPr/>
          <w:p>
            <w:r>
              <w:rPr/>
              <w:t xml:space="preserve">Recommended action</w:t>
            </w:r>
          </w:p>
        </w:tc>
        <w:tc>
          <w:tcPr/>
          <w:p>
            <w:r>
              <w:rPr/>
              <w:t xml:space="preserve">Analyze direct and indirect transaction structure; obtain Landlord consent before closing; submit the Section 22.1 package at least 30 days beforehand; confirm lease continuation and renewal rights in writing; review net worth, deposit, amendments, estoppels, and termination or relocation exposure.</w:t>
            </w:r>
          </w:p>
        </w:tc>
      </w:tr>
    </w:tbl>
    <w:p>
      <w:pPr/>
      <w:r>
        <w:rPr/>
        <w:t xml:space="preserve"/>
      </w:r>
    </w:p>
    <w:p>
      <w:pPr>
        <w:pStyle w:val="Heading2"/>
      </w:pPr>
      <w:r>
        <w:rPr/>
        <w:t xml:space="preserve">6. northland-refining-msa.docx.txt</w:t>
      </w:r>
    </w:p>
    <w:p>
      <w:pPr/>
      <w:r>
        <w:rPr/>
        <w:t xml:space="preserve">Contract type: Master supply agreement</w:t>
      </w:r>
    </w:p>
    <w:p>
      <w:pPr/>
      <w:r>
        <w:rPr/>
        <w:t xml:space="preserve">Target / named party: Northland and Apex</w:t>
      </w:r>
    </w:p>
    <w:p>
      <w:pPr/>
      <w:r>
        <w:rPr>
          <w:b/>
        </w:rPr>
        <w:t xml:space="preserve">Risk rating: Medium</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2100"/>
        <w:gridCol w:w="6700"/>
      </w:tblGrid>
      <w:tr>
        <w:tc>
          <w:tcPr>
            <w:shd w:fill="D9EAF7"/>
          </w:tcPr>
          <w:p>
            <w:r>
              <w:rPr>
                <w:b/>
              </w:rPr>
              <w:t xml:space="preserve">Topic</w:t>
            </w:r>
          </w:p>
        </w:tc>
        <w:tc>
          <w:tcPr>
            <w:shd w:fill="D9EAF7"/>
          </w:tcPr>
          <w:p>
            <w:r>
              <w:rPr>
                <w:b/>
              </w:rPr>
              <w:t xml:space="preserve">Extraction</w:t>
            </w:r>
          </w:p>
        </w:tc>
      </w:tr>
      <w:tr>
        <w:tc>
          <w:tcPr/>
          <w:p>
            <w:r>
              <w:rPr/>
              <w:t xml:space="preserve">Express change of control</w:t>
            </w:r>
          </w:p>
        </w:tc>
        <w:tc>
          <w:tcPr/>
          <w:p>
            <w:r>
              <w:rPr/>
              <w:t xml:space="preserve">No. Section 1.1’s more-than-50% Affiliate control definition is not a change-of-control clause.</w:t>
            </w:r>
          </w:p>
        </w:tc>
      </w:tr>
      <w:tr>
        <w:tc>
          <w:tcPr/>
          <w:p>
            <w:r>
              <w:rPr/>
              <w:t xml:space="preserve">Triggers / thresholds</w:t>
            </w:r>
          </w:p>
        </w:tc>
        <w:tc>
          <w:tcPr/>
          <w:p>
            <w:r>
              <w:rPr/>
              <w:t xml:space="preserve">No ownership, voting, merger, consolidation, asset-sale, or ultimate-control trigger is stated. Section 14.2 broadly restricts assignments, transfers, or delegations, including by operation of law, but does not expressly classify an equity acquisition as an assignment.</w:t>
            </w:r>
          </w:p>
        </w:tc>
      </w:tr>
      <w:tr>
        <w:tc>
          <w:tcPr/>
          <w:p>
            <w:r>
              <w:rPr/>
              <w:t xml:space="preserve">Consent / notice</w:t>
            </w:r>
          </w:p>
        </w:tc>
        <w:tc>
          <w:tcPr/>
          <w:p>
            <w:r>
              <w:rPr/>
              <w:t xml:space="preserve">Section 14.2 requires the other Party’s prior written consent for an assignment, transfer, or delegation; consent may be withheld in sole and absolute discretion. Transfers to a qualifying Affiliate do not require consent, but written notice is due within 30 days and the assigning Party remains jointly and severally liable.</w:t>
            </w:r>
          </w:p>
        </w:tc>
      </w:tr>
      <w:tr>
        <w:tc>
          <w:tcPr/>
          <w:p>
            <w:r>
              <w:rPr/>
              <w:t xml:space="preserve">Consequences</w:t>
            </w:r>
          </w:p>
        </w:tc>
        <w:tc>
          <w:tcPr/>
          <w:p>
            <w:r>
              <w:rPr/>
              <w:t xml:space="preserve">No consequence solely from ownership change. If a transaction is treated as an assignment without required consent, it is null and void and of no force or effect. Section 13.4 separately permits termination without cause on 12 months’ notice.</w:t>
            </w:r>
          </w:p>
        </w:tc>
      </w:tr>
      <w:tr>
        <w:tc>
          <w:tcPr/>
          <w:p>
            <w:r>
              <w:rPr/>
              <w:t xml:space="preserve">Exceptions / permitted transfers</w:t>
            </w:r>
          </w:p>
        </w:tc>
        <w:tc>
          <w:tcPr/>
          <w:p>
            <w:r>
              <w:rPr/>
              <w:t xml:space="preserve">Affiliate transfer under Section 14.2 requires notice within 30 days and continuing joint and several liability. Section 14.3 recognizes successors and permitted assigns subject to Article 14. No express internal-reorganization safe harbor or grandfathering exists.</w:t>
            </w:r>
          </w:p>
        </w:tc>
      </w:tr>
      <w:tr>
        <w:tc>
          <w:tcPr/>
          <w:p>
            <w:r>
              <w:rPr/>
              <w:t xml:space="preserve">Recommended action</w:t>
            </w:r>
          </w:p>
        </w:tc>
        <w:tc>
          <w:tcPr/>
          <w:p>
            <w:r>
              <w:rPr/>
              <w:t xml:space="preserve">Confirm whether the deal is a stock purchase, merger, conversion, asset transaction, or post-closing transfer. Determine Affiliate status under the more-than-50% control definition, seek consent or a waiver for merger or asset structures, calendar 30-day notice, and review Purchase Orders and related documents.</w:t>
            </w:r>
          </w:p>
        </w:tc>
      </w:tr>
    </w:tbl>
    <w:p>
      <w:pPr/>
      <w:r>
        <w:rPr/>
        <w:t xml:space="preserve"/>
      </w:r>
    </w:p>
    <w:p>
      <w:pPr>
        <w:pStyle w:val="Heading2"/>
      </w:pPr>
      <w:r>
        <w:rPr/>
        <w:t xml:space="preserve">7. pacwest-supply-agreement.docx.txt</w:t>
      </w:r>
    </w:p>
    <w:p>
      <w:pPr/>
      <w:r>
        <w:rPr/>
        <w:t xml:space="preserve">Contract type: Supply agreement</w:t>
      </w:r>
    </w:p>
    <w:p>
      <w:pPr/>
      <w:r>
        <w:rPr/>
        <w:t xml:space="preserve">Target / named party: Supplier: Apex; customer: PacWest</w:t>
      </w:r>
    </w:p>
    <w:p>
      <w:pPr/>
      <w:r>
        <w:rPr>
          <w:b/>
        </w:rPr>
        <w:t xml:space="preserve">Risk rating: High</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2100"/>
        <w:gridCol w:w="6700"/>
      </w:tblGrid>
      <w:tr>
        <w:tc>
          <w:tcPr>
            <w:shd w:fill="D9EAF7"/>
          </w:tcPr>
          <w:p>
            <w:r>
              <w:rPr>
                <w:b/>
              </w:rPr>
              <w:t xml:space="preserve">Topic</w:t>
            </w:r>
          </w:p>
        </w:tc>
        <w:tc>
          <w:tcPr>
            <w:shd w:fill="D9EAF7"/>
          </w:tcPr>
          <w:p>
            <w:r>
              <w:rPr>
                <w:b/>
              </w:rPr>
              <w:t xml:space="preserve">Extraction</w:t>
            </w:r>
          </w:p>
        </w:tc>
      </w:tr>
      <w:tr>
        <w:tc>
          <w:tcPr/>
          <w:p>
            <w:r>
              <w:rPr/>
              <w:t xml:space="preserve">Express change of control</w:t>
            </w:r>
          </w:p>
        </w:tc>
        <w:tc>
          <w:tcPr/>
          <w:p>
            <w:r>
              <w:rPr/>
              <w:t xml:space="preserve">Yes—Sections 1.1(c) and 10.5.</w:t>
            </w:r>
          </w:p>
        </w:tc>
      </w:tr>
      <w:tr>
        <w:tc>
          <w:tcPr/>
          <w:p>
            <w:r>
              <w:rPr/>
              <w:t xml:space="preserve">Triggers / thresholds</w:t>
            </w:r>
          </w:p>
        </w:tc>
        <w:tc>
          <w:tcPr/>
          <w:p>
            <w:r>
              <w:rPr/>
              <w:t xml:space="preserve">Section 1.1(c) covers merger, consolidation, or reorganization; sale or transfer of all or substantially all assets; acquisition by a person or group of more than 50% of voting securities; and any direct or indirect change in ultimate ownership or control.</w:t>
            </w:r>
          </w:p>
        </w:tc>
      </w:tr>
      <w:tr>
        <w:tc>
          <w:tcPr/>
          <w:p>
            <w:r>
              <w:rPr/>
              <w:t xml:space="preserve">Consent / notice</w:t>
            </w:r>
          </w:p>
        </w:tc>
        <w:tc>
          <w:tcPr/>
          <w:p>
            <w:r>
              <w:rPr/>
              <w:t xml:space="preserve">Apex must notify PacWest within 10 business days after consummation, identifying the transaction, acquirer or controller, and performance impact. PacWest may consent or terminate on 90 days’ written notice in its sole discretion. No pre-closing consent is expressly required, but silence after 60 days is not consent.</w:t>
            </w:r>
          </w:p>
        </w:tc>
      </w:tr>
      <w:tr>
        <w:tc>
          <w:tcPr/>
          <w:p>
            <w:r>
              <w:rPr/>
              <w:t xml:space="preserve">Consequences</w:t>
            </w:r>
          </w:p>
        </w:tc>
        <w:tc>
          <w:tcPr/>
          <w:p>
            <w:r>
              <w:rPr/>
              <w:t xml:space="preserve">PacWest may terminate after the 60-day consent period or otherwise upon 90 days’ written notice. During the notice period, Apex or its successor must perform outstanding Purchase Orders and maintain product quality, availability, and timeliness. Accepted Purchase Orders must be fulfilled under Section 10.6.</w:t>
            </w:r>
          </w:p>
        </w:tc>
      </w:tr>
      <w:tr>
        <w:tc>
          <w:tcPr/>
          <w:p>
            <w:r>
              <w:rPr/>
              <w:t xml:space="preserve">Exceptions / permitted transfers</w:t>
            </w:r>
          </w:p>
        </w:tc>
        <w:tc>
          <w:tcPr/>
          <w:p>
            <w:r>
              <w:rPr/>
              <w:t xml:space="preserve">No Apex Affiliate, internal-reorganization, or grandfathering exception. Section 12.1 permits PacWest assignment to a successor municipal authority, governmental entity, or agency without Apex consent. Section 12.2 separately governs ordinary assignments.</w:t>
            </w:r>
          </w:p>
        </w:tc>
      </w:tr>
      <w:tr>
        <w:tc>
          <w:tcPr/>
          <w:p>
            <w:r>
              <w:rPr/>
              <w:t xml:space="preserve">Recommended action</w:t>
            </w:r>
          </w:p>
        </w:tc>
        <w:tc>
          <w:tcPr/>
          <w:p>
            <w:r>
              <w:rPr/>
              <w:t xml:space="preserve">Confirm current term and renewal status after May 31, 2026; analyze transaction structure; seek written continuation consent before closing; deliver required notice; review Purchase Orders, amendments, and waivers; model 90-day termination and the $4 million annual minimum purchase commitment.</w:t>
            </w:r>
          </w:p>
        </w:tc>
      </w:tr>
    </w:tbl>
    <w:p>
      <w:pPr/>
      <w:r>
        <w:rPr/>
        <w:t xml:space="preserve"/>
      </w:r>
    </w:p>
    <w:p>
      <w:pPr>
        <w:pStyle w:val="Heading2"/>
      </w:pPr>
      <w:r>
        <w:rPr/>
        <w:t xml:space="preserve">8. product-liability-policy.docx.txt</w:t>
      </w:r>
    </w:p>
    <w:p>
      <w:pPr/>
      <w:r>
        <w:rPr/>
        <w:t xml:space="preserve">Contract type: Product liability insurance policy</w:t>
      </w:r>
    </w:p>
    <w:p>
      <w:pPr/>
      <w:r>
        <w:rPr/>
        <w:t xml:space="preserve">Target / named party: Named Insured</w:t>
      </w:r>
    </w:p>
    <w:p>
      <w:pPr/>
      <w:r>
        <w:rPr>
          <w:b/>
        </w:rPr>
        <w:t xml:space="preserve">Risk rating: High</w:t>
      </w:r>
    </w:p>
    <w:tbl>
      <w:tblPr>
        <w:tblStyle w:val="TableGrid"/>
        <w:tblBorders>
          <w:top w:val="single" w:sz="4" w:space="0" w:color="B7C9D6"/>
          <w:left w:val="single" w:sz="4" w:space="0" w:color="B7C9D6"/>
          <w:bottom w:val="single" w:sz="4" w:space="0" w:color="B7C9D6"/>
          <w:right w:val="single" w:sz="4" w:space="0" w:color="B7C9D6"/>
          <w:insideH w:val="single" w:sz="4" w:space="0" w:color="D9E2F3"/>
          <w:insideV w:val="single" w:sz="4" w:space="0" w:color="D9E2F3"/>
        </w:tblBorders>
      </w:tblPr>
      <w:tblGrid>
        <w:gridCol w:w="2100"/>
        <w:gridCol w:w="6700"/>
      </w:tblGrid>
      <w:tr>
        <w:tc>
          <w:tcPr>
            <w:shd w:fill="D9EAF7"/>
          </w:tcPr>
          <w:p>
            <w:r>
              <w:rPr>
                <w:b/>
              </w:rPr>
              <w:t xml:space="preserve">Topic</w:t>
            </w:r>
          </w:p>
        </w:tc>
        <w:tc>
          <w:tcPr>
            <w:shd w:fill="D9EAF7"/>
          </w:tcPr>
          <w:p>
            <w:r>
              <w:rPr>
                <w:b/>
              </w:rPr>
              <w:t xml:space="preserve">Extraction</w:t>
            </w:r>
          </w:p>
        </w:tc>
      </w:tr>
      <w:tr>
        <w:tc>
          <w:tcPr/>
          <w:p>
            <w:r>
              <w:rPr/>
              <w:t xml:space="preserve">Express change of control</w:t>
            </w:r>
          </w:p>
        </w:tc>
        <w:tc>
          <w:tcPr/>
          <w:p>
            <w:r>
              <w:rPr/>
              <w:t xml:space="preserve">Yes—Section II definition and Section IV.F.</w:t>
            </w:r>
          </w:p>
        </w:tc>
      </w:tr>
      <w:tr>
        <w:tc>
          <w:tcPr/>
          <w:p>
            <w:r>
              <w:rPr/>
              <w:t xml:space="preserve">Triggers / thresholds</w:t>
            </w:r>
          </w:p>
        </w:tc>
        <w:tc>
          <w:tcPr/>
          <w:p>
            <w:r>
              <w:rPr/>
              <w:t xml:space="preserve">Change of Control includes acquisition of 50% or more of voting securities; specified mergers, consolidations, amalgamations, or share exchanges where pre-transaction holders retain less than 50%; sale, lease, exchange, or transfer of substantially all assets; or any change in ultimate controlling person or entity.</w:t>
            </w:r>
          </w:p>
        </w:tc>
      </w:tr>
      <w:tr>
        <w:tc>
          <w:tcPr/>
          <w:p>
            <w:r>
              <w:rPr/>
              <w:t xml:space="preserve">Consent / notice</w:t>
            </w:r>
          </w:p>
        </w:tc>
        <w:tc>
          <w:tcPr/>
          <w:p>
            <w:r>
              <w:rPr/>
              <w:t xml:space="preserve">No prior Insurer consent is required for the Change of Control itself. Written notice is due within 15 days after effectiveness under Section IV.F.2; late notice does not prevent conversion but may permit claim coverage to be voided if investigation or defense is prejudiced. Policy assignment separately requires prior written consent.</w:t>
            </w:r>
          </w:p>
        </w:tc>
      </w:tr>
      <w:tr>
        <w:tc>
          <w:tcPr/>
          <w:p>
            <w:r>
              <w:rPr/>
              <w:t xml:space="preserve">Consequences</w:t>
            </w:r>
          </w:p>
        </w:tc>
        <w:tc>
          <w:tcPr/>
          <w:p>
            <w:r>
              <w:rPr/>
              <w:t xml:space="preserve">Section IV.F.1 automatically converts the policy to Run-Off Basis on the Change-of-Control date. Coverage continues only for pre-conversion products through the remainder of the Policy Period; no post-conversion product coverage or automatic successor coverage. No return premium. Tail may be purchased within 30 days.</w:t>
            </w:r>
          </w:p>
        </w:tc>
      </w:tr>
      <w:tr>
        <w:tc>
          <w:tcPr/>
          <w:p>
            <w:r>
              <w:rPr/>
              <w:t xml:space="preserve">Exceptions / permitted transfers</w:t>
            </w:r>
          </w:p>
        </w:tc>
        <w:tc>
          <w:tcPr/>
          <w:p>
            <w:r>
              <w:rPr/>
              <w:t xml:space="preserve">No affiliate or internal-reorganization safe harbor. Successor, parent, or acquiring affiliate needs a new policy. Run-Off extension of up to 36 months is discretionary and subject to additional premium. Tail options are 12, 24, or 36 months at 75%, 125%, or 175% of expiring premium.</w:t>
            </w:r>
          </w:p>
        </w:tc>
      </w:tr>
      <w:tr>
        <w:tc>
          <w:tcPr/>
          <w:p>
            <w:r>
              <w:rPr/>
              <w:t xml:space="preserve">Recommended action</w:t>
            </w:r>
          </w:p>
        </w:tc>
        <w:tc>
          <w:tcPr/>
          <w:p>
            <w:r>
              <w:rPr/>
              <w:t xml:space="preserve">Confirm trigger analysis and policy period; obtain Great Lakes Indemnity’s written position and replacement-policy terms; arrange successor coverage before closing; evaluate Run-Off and Tail coverage, limits, open claims, premium status, and the 15-day notice, 30-day Tail, and 60-day extension deadlines.</w:t>
            </w:r>
          </w:p>
        </w:tc>
      </w:tr>
    </w:tbl>
    <w:p>
      <w:pPr/>
      <w:r>
        <w:rPr/>
        <w:t xml:space="preserve"/>
      </w:r>
    </w:p>
    <w:p>
      <w:pPr>
        <w:pStyle w:val="Heading1"/>
      </w:pPr>
      <w:r>
        <w:rPr/>
        <w:t xml:space="preserve">5. Scope, Sources, and Limitations</w:t>
      </w:r>
    </w:p>
    <w:p>
      <w:pPr/>
      <w:r>
        <w:rPr/>
        <w:t xml:space="preserve">Source set: eight .txt transcriptions located in the task documents directory, corresponding to the supplied contract and policy documents. The report is an extraction and issue-spotting deliverable. It does not determine whether a provision is enforceable, whether any consent can be withheld lawfully, or whether facts outside the documents activate a trigger.</w:t>
      </w:r>
    </w:p>
    <w:p>
      <w:pPr/>
      <w:r>
        <w:rPr/>
        <w:t xml:space="preserve">The parties should verify execution status, amendments, renewals, schedules, exhibits, side letters, notices, defaults, outstanding purchase orders, insurance endorsements, and the factual ownership and board composition at signing and closing. References to sections and thresholds should be checked against the final executed versions.</w:t>
      </w:r>
    </w:p>
    <w:sectPr>
      <w:pgSz w:w="12240" w:h="15840"/>
      <w:pgMar w:top="900" w:right="900" w:bottom="900" w:left="900"/>
    </w:sectPr>
  </w:body>
</w:document>
</file>

<file path=word/styles.xml><?xml version="1.0" encoding="utf-8"?>
<w:styles xmlns:w="http://schemas.openxmlformats.org/wordprocessingml/2006/main">
  <w:style w:type="paragraph" w:default="1" w:styleId="Normal">
    <w:name w:val="Normal"/>
    <w:rPr>
      <w:sz w:val="20"/>
      <w:szCs w:val="20"/>
      <w:fonts w:ascii="Arial" w:hAnsi="Arial"/>
    </w:rPr>
    <w:pPr>
      <w:spacing w:after="100"/>
    </w:pPr>
  </w:style>
  <w:style w:type="paragraph" w:styleId="Title">
    <w:name w:val="Title"/>
    <w:basedOn w:val="Normal"/>
    <w:rPr>
      <w:b/>
      <w:sz w:val="32"/>
      <w:szCs w:val="32"/>
      <w:color w:val="1F4E79"/>
    </w:rPr>
    <w:pPr>
      <w:spacing w:after="240"/>
    </w:pPr>
  </w:style>
  <w:style w:type="paragraph" w:styleId="Heading1">
    <w:name w:val="heading 1"/>
    <w:basedOn w:val="Normal"/>
    <w:rPr>
      <w:b/>
      <w:sz w:val="26"/>
      <w:szCs w:val="26"/>
      <w:color w:val="1F4E79"/>
    </w:rPr>
    <w:pPr>
      <w:spacing w:before="300" w:after="120"/>
    </w:pPr>
  </w:style>
  <w:style w:type="paragraph" w:styleId="Heading2">
    <w:name w:val="heading 2"/>
    <w:basedOn w:val="Normal"/>
    <w:rPr>
      <w:b/>
      <w:sz w:val="22"/>
      <w:szCs w:val="22"/>
      <w:color w:val="2F5597"/>
    </w:rPr>
    <w:pPr>
      <w:spacing w:before="220" w:after="100"/>
    </w:pPr>
  </w:style>
  <w:style w:type="paragraph" w:styleId="ListBullet">
    <w:name w:val="List Bullet"/>
    <w:basedOn w:val="Normal"/>
    <w:pPr>
      <w:ind w:left="360" w:hanging="180"/>
    </w:pPr>
  </w:style>
  <w:style w:type="paragraph" w:styleId="ListBullet2">
    <w:name w:val="List Bullet 2"/>
    <w:basedOn w:val="Normal"/>
    <w:pPr>
      <w:ind w:left="720" w:hanging="180"/>
    </w:pPr>
  </w:style>
</w:styles>
</file>

<file path=word/_rels/document.xml.rels><?xml version="1.0" encoding="UTF-8" standalone="yes"?>
<Relationships xmlns="http://schemas.openxmlformats.org/package/2006/relationships"></Relationships>
</file>

<file path=docProps/core.xml><?xml version="1.0" encoding="utf-8"?>
<cp:coreProperties xmlns:cp="http://schemas.openxmlformats.org/package/2006/metadata/core-properties" xmlns:dc="http://purl.org/dc/elements/1.1/">
  <dc:title>Change-of-Control Extraction Report</dc:title>
  <dc:subject>Acquisition target contract diligence</dc:subject>
  <dc:creator>Legal Diligence Review</dc:creator>
  <cp:keywords>change of control, acquisition, contracts, risk</cp:keywords>
</cp:coreProperties>
</file>