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rPr/>
        <w:t xml:space="preserve">CHANGE-OF-CONTROL EXTRACTION REPORT</w:t>
      </w:r>
    </w:p>
    <w:p>
      <w:pPr>
        <w:pStyle w:val="Subtitle"/>
      </w:pPr>
      <w:r>
        <w:rPr/>
        <w:t xml:space="preserve">Acquisition Target Contract Review</w:t>
      </w:r>
    </w:p>
    <w:p>
      <w:pPr>
        <w:pStyle w:val="Subtitle"/>
      </w:pPr>
      <w:r>
        <w:rPr/>
        <w:t xml:space="preserve">Prepared September 7, 2026</w:t>
      </w:r>
    </w:p>
    <w:p>
      <w:r>
        <w:rPr/>
        <w:t xml:space="preserve"/>
      </w:r>
    </w:p>
    <w:p>
      <w:pPr>
        <w:pStyle w:val="Heading1"/>
      </w:pPr>
      <w:r>
        <w:rPr/>
        <w:t xml:space="preserve">Executive Summary</w:t>
      </w:r>
    </w:p>
    <w:p>
      <w:r>
        <w:rPr/>
        <w:t xml:space="preserve">This report extracts express change-of-control provisions and related assignment, consent, notice, termination, default, acceleration, conversion, and successor-rights provisions from the eight supplied acquisition-target contract documents. The analysis distinguishes express change-of-control language from indirect transaction risk.</w:t>
      </w:r>
    </w:p>
    <w:p>
      <w:r>
        <w:rPr/>
        <w:t xml:space="preserve">The principal diligence risks are concentrated in the Hendricks license, Summit credit agreement, Crescent Ridge lease, PacWest supply agreement, product-liability policy, Apex–Kenji JV agreement, and Hesse employment agreement. The Northland MSA does not contain an express change-of-control clause in the reviewed text, but its assignment and confidentiality provisions may still create transaction risk.</w:t>
      </w:r>
    </w:p>
    <w:p>
      <w:pPr>
        <w:pStyle w:val="Heading1"/>
      </w:pPr>
      <w:r>
        <w:rPr/>
        <w:t xml:space="preserve">Scope and Methodology</w:t>
      </w:r>
    </w:p>
    <w:p>
      <w:r>
        <w:rPr/>
        <w:t xml:space="preserve">Sources reviewed: the eight .txt transcriptions in the supplied documents directory. The report relies on the text provided and identifies section references and quotations as reported in the contract review. It is a diligence extraction, not a legal opinion. Defined terms, schedules, amendments, side letters, exhibits, governing-law issues, and factual matters not apparent from the supplied text should be independently verified.</w:t>
      </w:r>
    </w:p>
    <w:p>
      <w:pPr>
        <w:pStyle w:val="Heading1"/>
      </w:pPr>
      <w:r>
        <w:rPr/>
        <w:t xml:space="preserve">Risk Legend</w:t>
      </w:r>
    </w:p>
    <w:p>
      <w:r>
        <w:rPr/>
        <w:t xml:space="preserve">High — transaction may require consent, repayment, termination protection, replacement coverage, or may cause a material loss of rights or value.</w:t>
      </w:r>
    </w:p>
    <w:p>
      <w:r>
        <w:rPr/>
        <w:t xml:space="preserve">Medium — indirect or execution risk requiring confirmation, but no immediate express automatic adverse consequence was identified.</w:t>
      </w:r>
    </w:p>
    <w:p>
      <w:r>
        <w:rPr/>
        <w:t xml:space="preserve">Low — limited or principally administrative exposure based on the reviewed text.</w:t>
      </w:r>
    </w:p>
    <w:p>
      <w:pPr>
        <w:pStyle w:val="Heading1"/>
      </w:pPr>
      <w:r>
        <w:rPr/>
        <w:t xml:space="preserve">Overall Risk Ranking</w:t>
      </w:r>
    </w:p>
    <w:p>
      <w:pPr>
        <w:ind w:left="720" w:hanging="360"/>
        <w:numPr>
          <w:ilvl w:val="0"/>
          <w:numId w:val="1"/>
        </w:numPr>
      </w:pPr>
      <w:r>
        <w:t xml:space="preserve">1. Hendricks License Agreement — High / Critical execution risk</w:t>
      </w:r>
    </w:p>
    <w:p>
      <w:pPr>
        <w:ind w:left="720" w:hanging="360"/>
        <w:numPr>
          <w:ilvl w:val="0"/>
          <w:numId w:val="1"/>
        </w:numPr>
      </w:pPr>
      <w:r>
        <w:t xml:space="preserve">2. Summit Credit Agreement — High / Critical financing risk</w:t>
      </w:r>
    </w:p>
    <w:p>
      <w:pPr>
        <w:ind w:left="720" w:hanging="360"/>
        <w:numPr>
          <w:ilvl w:val="0"/>
          <w:numId w:val="1"/>
        </w:numPr>
      </w:pPr>
      <w:r>
        <w:t xml:space="preserve">3. Crescent Ridge Lease — High / Critical premises risk</w:t>
      </w:r>
    </w:p>
    <w:p>
      <w:pPr>
        <w:ind w:left="720" w:hanging="360"/>
        <w:numPr>
          <w:ilvl w:val="0"/>
          <w:numId w:val="1"/>
        </w:numPr>
      </w:pPr>
      <w:r>
        <w:t xml:space="preserve">4. PacWest Supply Agreement — High</w:t>
      </w:r>
    </w:p>
    <w:p>
      <w:pPr>
        <w:ind w:left="720" w:hanging="360"/>
        <w:numPr>
          <w:ilvl w:val="0"/>
          <w:numId w:val="1"/>
        </w:numPr>
      </w:pPr>
      <w:r>
        <w:t xml:space="preserve">5. Product Liability Policy — High / Critical insurance gap</w:t>
      </w:r>
    </w:p>
    <w:p>
      <w:pPr>
        <w:ind w:left="720" w:hanging="360"/>
        <w:numPr>
          <w:ilvl w:val="0"/>
          <w:numId w:val="1"/>
        </w:numPr>
      </w:pPr>
      <w:r>
        <w:t xml:space="preserve">6. Apex–Kenji JV Agreement — High</w:t>
      </w:r>
    </w:p>
    <w:p>
      <w:pPr>
        <w:ind w:left="720" w:hanging="360"/>
        <w:numPr>
          <w:ilvl w:val="0"/>
          <w:numId w:val="1"/>
        </w:numPr>
      </w:pPr>
      <w:r>
        <w:t xml:space="preserve">7. Hesse Employment Agreement — High financial/closing risk</w:t>
      </w:r>
    </w:p>
    <w:p>
      <w:pPr>
        <w:ind w:left="720" w:hanging="360"/>
        <w:numPr>
          <w:ilvl w:val="0"/>
          <w:numId w:val="1"/>
        </w:numPr>
      </w:pPr>
      <w:r>
        <w:t xml:space="preserve">8. Northland Refining MSA — Medium</w:t>
      </w:r>
    </w:p>
    <w:p>
      <w:pPr>
        <w:pStyle w:val="Heading1"/>
      </w:pPr>
      <w:r>
        <w:rPr/>
        <w:t xml:space="preserve">Detailed Contract Findings</w:t>
      </w:r>
    </w:p>
    <w:p>
      <w:r>
        <w:rPr/>
        <w:t xml:space="preserve"/>
      </w:r>
    </w:p>
    <w:p>
      <w:pPr>
        <w:pStyle w:val="Heading2"/>
      </w:pPr>
      <w:r>
        <w:rPr/>
        <w:t xml:space="preserve">1. Apex–Kenji JV Agreement</w:t>
      </w:r>
    </w:p>
    <w:p>
      <w:r>
        <w:rPr/>
        <w:t xml:space="preserve"/>
      </w:r>
    </w:p>
    <w:p>
      <w:r>
        <w:rPr>
          <w:b/>
        </w:rPr>
        <w:t xml:space="preserve">Document/parties and subject matter.</w:t>
      </w:r>
    </w:p>
    <w:p>
      <w:r>
        <w:rPr/>
        <w:t xml:space="preserve">Joint venture agreement among Apex, Kenji, and the Company governing ownership, governance, transfers, exclusivity, and operation of the Apex–Kenji JV. Apex reportedly holds 55% and Kenji 45%.</w:t>
      </w:r>
    </w:p>
    <w:p>
      <w:r>
        <w:rPr/>
        <w:t xml:space="preserve"/>
      </w:r>
    </w:p>
    <w:p>
      <w:r>
        <w:rPr>
          <w:b/>
        </w:rPr>
        <w:t xml:space="preserve">Express Change-of-Control provision.</w:t>
      </w:r>
    </w:p>
    <w:p>
      <w:r>
        <w:rPr>
          <w:b/>
        </w:rPr>
        <w:t xml:space="preserve">Yes. Article I defines “Change of Control” broadly, and Article XII establishes notice, successor, and buy-out mechanics.</w:t>
      </w:r>
    </w:p>
    <w:p>
      <w:r>
        <w:rPr/>
        <w:t xml:space="preserve"/>
      </w:r>
    </w:p>
    <w:p>
      <w:r>
        <w:rPr>
          <w:b/>
        </w:rPr>
        <w:t xml:space="preserve">Key references and quotations.</w:t>
      </w:r>
    </w:p>
    <w:p>
      <w:r>
        <w:rPr/>
        <w:t xml:space="preserve"/>
      </w:r>
    </w:p>
    <w:p>
      <w:pPr>
        <w:ind w:left="720" w:hanging="360"/>
        <w:numPr>
          <w:ilvl w:val="0"/>
          <w:numId w:val="1"/>
        </w:numPr>
      </w:pPr>
      <w:r>
        <w:t xml:space="preserve">**Article I — Definition of “Change of Control”:**</w:t>
      </w:r>
    </w:p>
    <w:p>
      <w:pPr>
        <w:pStyle w:val="Quote"/>
      </w:pPr>
      <w:r>
        <w:rPr>
          <w:i/>
        </w:rPr>
        <w:t xml:space="preserve">“the acquisition, directly or indirectly…of fifty percent (50%) or more of the issued and outstanding voting equity interests”</w:t>
      </w:r>
    </w:p>
    <w:p>
      <w:r>
        <w:rPr/>
        <w:t xml:space="preserve">and any transaction changing “the power to direct or cause the direction of the management and policies.”</w:t>
      </w:r>
    </w:p>
    <w:p>
      <w:pPr>
        <w:ind w:left="720" w:hanging="360"/>
        <w:numPr>
          <w:ilvl w:val="0"/>
          <w:numId w:val="1"/>
        </w:numPr>
      </w:pPr>
      <w:r>
        <w:t xml:space="preserve">**Section 12.1 — Notice:**</w:t>
      </w:r>
    </w:p>
    <w:p>
      <w:pPr>
        <w:pStyle w:val="Quote"/>
      </w:pPr>
      <w:r>
        <w:rPr>
          <w:i/>
        </w:rPr>
        <w:t xml:space="preserve">“Each Member shall provide the other Member with written notice of any Change of Control…within ten (10) business days” after signing a definitive agreement and again “within five (5) business days” after consummation.</w:t>
      </w:r>
    </w:p>
    <w:p>
      <w:pPr>
        <w:ind w:left="720" w:hanging="360"/>
        <w:numPr>
          <w:ilvl w:val="0"/>
          <w:numId w:val="1"/>
        </w:numPr>
      </w:pPr>
      <w:r>
        <w:t xml:space="preserve">**Section 12.2 — Consent Not Required:**</w:t>
      </w:r>
    </w:p>
    <w:p>
      <w:pPr>
        <w:pStyle w:val="Quote"/>
      </w:pPr>
      <w:r>
        <w:rPr>
          <w:i/>
        </w:rPr>
        <w:t xml:space="preserve">“a Change of Control of a Member shall not be deemed a Transfer” and “shall not require the consent of the non-affected Member.”</w:t>
      </w:r>
    </w:p>
    <w:p>
      <w:pPr>
        <w:ind w:left="720" w:hanging="360"/>
        <w:numPr>
          <w:ilvl w:val="0"/>
          <w:numId w:val="1"/>
        </w:numPr>
      </w:pPr>
      <w:r>
        <w:t xml:space="preserve">**Section 12.3(a) — Buy-Out Option:**</w:t>
      </w:r>
    </w:p>
    <w:p>
      <w:pPr>
        <w:pStyle w:val="Quote"/>
      </w:pPr>
      <w:r>
        <w:rPr>
          <w:i/>
        </w:rPr>
        <w:t xml:space="preserve">“the other Member…shall have the right…to purchase all (but not less than all)” of the affected Member’s interest.</w:t>
      </w:r>
    </w:p>
    <w:p>
      <w:pPr>
        <w:ind w:left="720" w:hanging="360"/>
        <w:numPr>
          <w:ilvl w:val="0"/>
          <w:numId w:val="1"/>
        </w:numPr>
      </w:pPr>
      <w:r>
        <w:t xml:space="preserve">**Section 12.3(c) — Price:**</w:t>
      </w:r>
    </w:p>
    <w:p>
      <w:pPr>
        <w:pStyle w:val="Quote"/>
      </w:pPr>
      <w:r>
        <w:rPr>
          <w:i/>
        </w:rPr>
        <w:t xml:space="preserve">“four and one-half times (4.5x) the Company's trailing twelve-month EBITDA.”</w:t>
      </w:r>
    </w:p>
    <w:p>
      <w:pPr>
        <w:ind w:left="720" w:hanging="360"/>
        <w:numPr>
          <w:ilvl w:val="0"/>
          <w:numId w:val="1"/>
        </w:numPr>
      </w:pPr>
      <w:r>
        <w:t xml:space="preserve">**Section 12.3(b) — Successor carve-out:** requires both an 18-month management-retention commitment and more than $500 million of qualifying fluid-control revenue.</w:t>
      </w:r>
    </w:p>
    <w:p>
      <w:pPr>
        <w:ind w:left="720" w:hanging="360"/>
        <w:numPr>
          <w:ilvl w:val="0"/>
          <w:numId w:val="1"/>
        </w:numPr>
      </w:pPr>
      <w:r>
        <w:t xml:space="preserve">**Section 12.4 — Successor obligations:**</w:t>
      </w:r>
    </w:p>
    <w:p>
      <w:pPr>
        <w:pStyle w:val="Quote"/>
      </w:pPr>
      <w:r>
        <w:rPr>
          <w:i/>
        </w:rPr>
        <w:t xml:space="preserve">“all obligations of such Member…shall remain in full force and effect” and the successor must execute a joinder within 30 days.</w:t>
      </w:r>
    </w:p>
    <w:p>
      <w:r>
        <w:rPr/>
        <w:t xml:space="preserve"/>
      </w:r>
    </w:p>
    <w:p>
      <w:r>
        <w:rPr>
          <w:b/>
        </w:rPr>
        <w:t xml:space="preserve">Trigger, consent/notice, and timing.</w:t>
      </w:r>
    </w:p>
    <w:p>
      <w:r>
        <w:rPr/>
        <w:t xml:space="preserve"/>
      </w:r>
    </w:p>
    <w:p>
      <w:pPr>
        <w:ind w:left="720" w:hanging="360"/>
        <w:numPr>
          <w:ilvl w:val="0"/>
          <w:numId w:val="1"/>
        </w:numPr>
      </w:pPr>
      <w:r>
        <w:t xml:space="preserve">Applies to a direct or indirect 50% or greater voting ownership change or a broader change in management/control power of either Member.</w:t>
      </w:r>
    </w:p>
    <w:p>
      <w:pPr>
        <w:ind w:left="720" w:hanging="360"/>
        <w:numPr>
          <w:ilvl w:val="0"/>
          <w:numId w:val="1"/>
        </w:numPr>
      </w:pPr>
      <w:r>
        <w:t xml:space="preserve">No consent under Section 11.1 is required solely for a Member-level Change of Control.</w:t>
      </w:r>
    </w:p>
    <w:p>
      <w:pPr>
        <w:ind w:left="720" w:hanging="360"/>
        <w:numPr>
          <w:ilvl w:val="0"/>
          <w:numId w:val="1"/>
        </w:numPr>
      </w:pPr>
      <w:r>
        <w:t xml:space="preserve">Notice is required:</w:t>
      </w:r>
    </w:p>
    <w:p>
      <w:pPr>
        <w:ind w:left="720" w:hanging="360"/>
        <w:numPr>
          <w:ilvl w:val="0"/>
          <w:numId w:val="1"/>
        </w:numPr>
      </w:pPr>
      <w:r>
        <w:t xml:space="preserve">Within 10 business days after execution of the definitive agreement; and</w:t>
      </w:r>
    </w:p>
    <w:p>
      <w:pPr>
        <w:ind w:left="720" w:hanging="360"/>
        <w:numPr>
          <w:ilvl w:val="0"/>
          <w:numId w:val="1"/>
        </w:numPr>
      </w:pPr>
      <w:r>
        <w:t xml:space="preserve">Within five business days after consummation.</w:t>
      </w:r>
    </w:p>
    <w:p>
      <w:pPr>
        <w:ind w:left="720" w:hanging="360"/>
        <w:numPr>
          <w:ilvl w:val="0"/>
          <w:numId w:val="1"/>
        </w:numPr>
      </w:pPr>
      <w:r>
        <w:t xml:space="preserve">The non-affected Member has 90 days after receiving the consummation notice to exercise the buy-out option.</w:t>
      </w:r>
    </w:p>
    <w:p>
      <w:pPr>
        <w:ind w:left="720" w:hanging="360"/>
        <w:numPr>
          <w:ilvl w:val="0"/>
          <w:numId w:val="1"/>
        </w:numPr>
      </w:pPr>
      <w:r>
        <w:t xml:space="preserve">Closing of the buy-out must occur within 60 days after exercise.</w:t>
      </w:r>
    </w:p>
    <w:p>
      <w:pPr>
        <w:ind w:left="720" w:hanging="360"/>
        <w:numPr>
          <w:ilvl w:val="0"/>
          <w:numId w:val="1"/>
        </w:numPr>
      </w:pPr>
      <w:r>
        <w:t xml:space="preserve">The successor must execute a joinder within 30 days after consummation.</w:t>
      </w:r>
    </w:p>
    <w:p>
      <w:r>
        <w:rPr/>
        <w:t xml:space="preserve"/>
      </w:r>
    </w:p>
    <w:p>
      <w:r>
        <w:rPr>
          <w:b/>
        </w:rPr>
        <w:t xml:space="preserve">Consequences and adverse effects.</w:t>
      </w:r>
    </w:p>
    <w:p>
      <w:r>
        <w:rPr/>
        <w:t xml:space="preserve"/>
      </w:r>
    </w:p>
    <w:p>
      <w:pPr>
        <w:ind w:left="720" w:hanging="360"/>
        <w:numPr>
          <w:ilvl w:val="0"/>
          <w:numId w:val="1"/>
        </w:numPr>
      </w:pPr>
      <w:r>
        <w:t xml:space="preserve">The non-affected Member may compel the sale of **all** of the affected Member’s JV interest.</w:t>
      </w:r>
    </w:p>
    <w:p>
      <w:pPr>
        <w:ind w:left="720" w:hanging="360"/>
        <w:numPr>
          <w:ilvl w:val="0"/>
          <w:numId w:val="1"/>
        </w:numPr>
      </w:pPr>
      <w:r>
        <w:t xml:space="preserve">The price is based on 4.5x applicable Company EBITDA, regardless of whether the affected Member owns 55% or 45%, potentially producing a below-market result for Apex.</w:t>
      </w:r>
    </w:p>
    <w:p>
      <w:pPr>
        <w:ind w:left="720" w:hanging="360"/>
        <w:numPr>
          <w:ilvl w:val="0"/>
          <w:numId w:val="1"/>
        </w:numPr>
      </w:pPr>
      <w:r>
        <w:t xml:space="preserve">The successor carve-out is narrow and cumulative; failure to satisfy either condition leaves the buy-out right available.</w:t>
      </w:r>
    </w:p>
    <w:p>
      <w:pPr>
        <w:ind w:left="720" w:hanging="360"/>
        <w:numPr>
          <w:ilvl w:val="0"/>
          <w:numId w:val="1"/>
        </w:numPr>
      </w:pPr>
      <w:r>
        <w:t xml:space="preserve">Late or incomplete notice is a contractual breach and may impair the buy-out process.</w:t>
      </w:r>
    </w:p>
    <w:p>
      <w:pPr>
        <w:ind w:left="720" w:hanging="360"/>
        <w:numPr>
          <w:ilvl w:val="0"/>
          <w:numId w:val="1"/>
        </w:numPr>
      </w:pPr>
      <w:r>
        <w:t xml:space="preserve">A direct sale of a JV interest separately implicates:</w:t>
      </w:r>
    </w:p>
    <w:p>
      <w:pPr>
        <w:ind w:left="720" w:hanging="360"/>
        <w:numPr>
          <w:ilvl w:val="0"/>
          <w:numId w:val="1"/>
        </w:numPr>
      </w:pPr>
      <w:r>
        <w:t xml:space="preserve">**Section 11.1:** prior written consent, which may be withheld in the other Member’s “sole and absolute discretion”;</w:t>
      </w:r>
    </w:p>
    <w:p>
      <w:pPr>
        <w:ind w:left="720" w:hanging="360"/>
        <w:numPr>
          <w:ilvl w:val="0"/>
          <w:numId w:val="1"/>
        </w:numPr>
      </w:pPr>
      <w:r>
        <w:t xml:space="preserve">**Section 11.3:** 60-day right of first refusal; and</w:t>
      </w:r>
    </w:p>
    <w:p>
      <w:pPr>
        <w:ind w:left="720" w:hanging="360"/>
        <w:numPr>
          <w:ilvl w:val="0"/>
          <w:numId w:val="1"/>
        </w:numPr>
      </w:pPr>
      <w:r>
        <w:t xml:space="preserve">**Section 11.4:** Kenji’s tag-along right if Apex transfers a majority of its JV interest, with at least 30 days’ prior notice.</w:t>
      </w:r>
    </w:p>
    <w:p>
      <w:pPr>
        <w:ind w:left="720" w:hanging="360"/>
        <w:numPr>
          <w:ilvl w:val="0"/>
          <w:numId w:val="1"/>
        </w:numPr>
      </w:pPr>
      <w:r>
        <w:t xml:space="preserve">Indirectly, a buyer’s Affiliates may become subject to the **Section 7.2 exclusivity** covenant. Governance deadlock may also create dissolution and technology-license risks.</w:t>
      </w:r>
    </w:p>
    <w:p>
      <w:r>
        <w:rPr/>
        <w:t xml:space="preserve"/>
      </w:r>
    </w:p>
    <w:p>
      <w:r>
        <w:rPr>
          <w:b/>
        </w:rPr>
        <w:t xml:space="preserve">Risk rating: High.</w:t>
      </w:r>
    </w:p>
    <w:p>
      <w:r>
        <w:rPr/>
        <w:t xml:space="preserve">The provision permits the acquisition to proceed without Member consent but exposes the acquired company to a forced sale of its entire JV interest on a potentially unfavorable formula. Direct JV-interest transfers carry additional consent, ROFR, and tag-along risks.</w:t>
      </w:r>
    </w:p>
    <w:p>
      <w:r>
        <w:rPr/>
        <w:t xml:space="preserve"/>
      </w:r>
    </w:p>
    <w:p>
      <w:r>
        <w:rPr>
          <w:b/>
        </w:rPr>
        <w:t xml:space="preserve">Practical diligence/action items.</w:t>
      </w:r>
    </w:p>
    <w:p>
      <w:r>
        <w:rPr/>
        <w:t xml:space="preserve"/>
      </w:r>
    </w:p>
    <w:p>
      <w:pPr>
        <w:ind w:left="720" w:hanging="360"/>
        <w:numPr>
          <w:ilvl w:val="0"/>
          <w:numId w:val="1"/>
        </w:numPr>
      </w:pPr>
      <w:r>
        <w:t xml:space="preserve">Model the buy-out price under multiple EBITDA scenarios for both Apex’s 55% interest and Kenji’s 45% interest.</w:t>
      </w:r>
    </w:p>
    <w:p>
      <w:pPr>
        <w:ind w:left="720" w:hanging="360"/>
        <w:numPr>
          <w:ilvl w:val="0"/>
          <w:numId w:val="1"/>
        </w:numPr>
      </w:pPr>
      <w:r>
        <w:t xml:space="preserve">Confirm whether the buyer can satisfy both Section 12.3(b) carve-out conditions.</w:t>
      </w:r>
    </w:p>
    <w:p>
      <w:pPr>
        <w:ind w:left="720" w:hanging="360"/>
        <w:numPr>
          <w:ilvl w:val="0"/>
          <w:numId w:val="1"/>
        </w:numPr>
      </w:pPr>
      <w:r>
        <w:t xml:space="preserve">Establish a dual-notice process tied to signing and closing.</w:t>
      </w:r>
    </w:p>
    <w:p>
      <w:pPr>
        <w:ind w:left="720" w:hanging="360"/>
        <w:numPr>
          <w:ilvl w:val="0"/>
          <w:numId w:val="1"/>
        </w:numPr>
      </w:pPr>
      <w:r>
        <w:t xml:space="preserve">Review the JV’s valuation, EBITDA definition, accounting practices, and dispute-resolution timetable.</w:t>
      </w:r>
    </w:p>
    <w:p>
      <w:pPr>
        <w:ind w:left="720" w:hanging="360"/>
        <w:numPr>
          <w:ilvl w:val="0"/>
          <w:numId w:val="1"/>
        </w:numPr>
      </w:pPr>
      <w:r>
        <w:t xml:space="preserve">Determine whether the transaction involves a direct JV-interest transfer in addition to a parent-level Change of Control.</w:t>
      </w:r>
    </w:p>
    <w:p>
      <w:pPr>
        <w:ind w:left="720" w:hanging="360"/>
        <w:numPr>
          <w:ilvl w:val="0"/>
          <w:numId w:val="1"/>
        </w:numPr>
      </w:pPr>
      <w:r>
        <w:t xml:space="preserve">Obtain Kenji’s position on the transaction, including potential ROFR, tag-along, governance, exclusivity, and deadlock issues.</w:t>
      </w:r>
    </w:p>
    <w:p>
      <w:pPr>
        <w:ind w:left="720" w:hanging="360"/>
        <w:numPr>
          <w:ilvl w:val="0"/>
          <w:numId w:val="1"/>
        </w:numPr>
      </w:pPr>
      <w:r>
        <w:t xml:space="preserve">Include successor joinder and post-closing Affiliate-compliance covenants in the transaction documents.</w:t>
      </w:r>
    </w:p>
    <w:p>
      <w:r>
        <w:rPr/>
        <w:t xml:space="preserve"/>
      </w:r>
    </w:p>
    <w:p>
      <w:r>
        <w:rPr/>
        <w:t xml:space="preserve">---</w:t>
      </w:r>
    </w:p>
    <w:p>
      <w:r>
        <w:rPr/>
        <w:t xml:space="preserve"/>
      </w:r>
    </w:p>
    <w:p>
      <w:pPr>
        <w:pStyle w:val="Heading2"/>
      </w:pPr>
      <w:r>
        <w:rPr/>
        <w:t xml:space="preserve">2. Summit Credit Agreement</w:t>
      </w:r>
    </w:p>
    <w:p>
      <w:r>
        <w:rPr/>
        <w:t xml:space="preserve"/>
      </w:r>
    </w:p>
    <w:p>
      <w:r>
        <w:rPr>
          <w:b/>
        </w:rPr>
        <w:t xml:space="preserve">Document/parties and subject matter.</w:t>
      </w:r>
    </w:p>
    <w:p>
      <w:r>
        <w:rPr/>
        <w:t xml:space="preserve">Revolving credit agreement among the Borrower, Administrative Agent, and Lenders. The facility reportedly has approximately $42.5 million of initial repayment exposure, plus interest and other amounts.</w:t>
      </w:r>
    </w:p>
    <w:p>
      <w:r>
        <w:rPr/>
        <w:t xml:space="preserve"/>
      </w:r>
    </w:p>
    <w:p>
      <w:r>
        <w:rPr>
          <w:b/>
        </w:rPr>
        <w:t xml:space="preserve">Express Change-of-Control provision.</w:t>
      </w:r>
    </w:p>
    <w:p>
      <w:r>
        <w:rPr>
          <w:b/>
        </w:rPr>
        <w:t xml:space="preserve">Yes. The agreement contains two separate and materially different concepts: a greater-than-50% “Change of Control” and a greater-than-35% “Change in Control” Event of Default.</w:t>
      </w:r>
    </w:p>
    <w:p>
      <w:r>
        <w:rPr/>
        <w:t xml:space="preserve"/>
      </w:r>
    </w:p>
    <w:p>
      <w:r>
        <w:rPr>
          <w:b/>
        </w:rPr>
        <w:t xml:space="preserve">Key references and quotations.</w:t>
      </w:r>
    </w:p>
    <w:p>
      <w:r>
        <w:rPr/>
        <w:t xml:space="preserve"/>
      </w:r>
    </w:p>
    <w:p>
      <w:pPr>
        <w:ind w:left="720" w:hanging="360"/>
        <w:numPr>
          <w:ilvl w:val="0"/>
          <w:numId w:val="1"/>
        </w:numPr>
      </w:pPr>
      <w:r>
        <w:t xml:space="preserve">**Section 1.01 — Definition of “Change of Control”:**</w:t>
      </w:r>
    </w:p>
    <w:p>
      <w:pPr>
        <w:pStyle w:val="Quote"/>
      </w:pPr>
      <w:r>
        <w:rPr>
          <w:i/>
        </w:rPr>
        <w:t xml:space="preserve">“any ‘person’ or ‘group’…shall acquire…more than 50%” of Borrower voting stock; or the Borrower ceases to own 100% of its subsidiaries, subject to retaining at least 51% of Apex–Kenji Precision JV, LLC.</w:t>
      </w:r>
    </w:p>
    <w:p>
      <w:pPr>
        <w:ind w:left="720" w:hanging="360"/>
        <w:numPr>
          <w:ilvl w:val="0"/>
          <w:numId w:val="1"/>
        </w:numPr>
      </w:pPr>
      <w:r>
        <w:t xml:space="preserve">**Section 2.09(d) — Mandatory prepayment:**</w:t>
      </w:r>
    </w:p>
    <w:p>
      <w:pPr>
        <w:pStyle w:val="Quote"/>
      </w:pPr>
      <w:r>
        <w:rPr>
          <w:i/>
        </w:rPr>
        <w:t xml:space="preserve">“prepay all outstanding Revolving Loans in full” within 30 days, and “all Commitments shall automatically terminate.”</w:t>
      </w:r>
    </w:p>
    <w:p>
      <w:pPr>
        <w:ind w:left="720" w:hanging="360"/>
        <w:numPr>
          <w:ilvl w:val="0"/>
          <w:numId w:val="1"/>
        </w:numPr>
      </w:pPr>
      <w:r>
        <w:t xml:space="preserve">**Section 8.01(j) — Change in Control Event of Default:**</w:t>
      </w:r>
    </w:p>
    <w:p>
      <w:pPr>
        <w:pStyle w:val="Quote"/>
      </w:pPr>
      <w:r>
        <w:rPr>
          <w:i/>
        </w:rPr>
        <w:t xml:space="preserve">acquisition of “more than 35%” of Borrower voting stock or incumbent directors ceasing to constitute a board majority.</w:t>
      </w:r>
    </w:p>
    <w:p>
      <w:pPr>
        <w:ind w:left="720" w:hanging="360"/>
        <w:numPr>
          <w:ilvl w:val="0"/>
          <w:numId w:val="1"/>
        </w:numPr>
      </w:pPr>
      <w:r>
        <w:t xml:space="preserve">**Section 5.07(c) — Notice:** notice within five Business Days after a Responsible Officer obtains knowledge.</w:t>
      </w:r>
    </w:p>
    <w:p>
      <w:pPr>
        <w:ind w:left="720" w:hanging="360"/>
        <w:numPr>
          <w:ilvl w:val="0"/>
          <w:numId w:val="1"/>
        </w:numPr>
      </w:pPr>
      <w:r>
        <w:t xml:space="preserve">**Section 8.02(a) — Remedies:**</w:t>
      </w:r>
    </w:p>
    <w:p>
      <w:pPr>
        <w:pStyle w:val="Quote"/>
      </w:pPr>
      <w:r>
        <w:rPr>
          <w:i/>
        </w:rPr>
        <w:t xml:space="preserve">“declare all Revolving Credit Commitments terminated” and “all outstanding Obligations immediately due and payable.”</w:t>
      </w:r>
    </w:p>
    <w:p>
      <w:pPr>
        <w:ind w:left="720" w:hanging="360"/>
        <w:numPr>
          <w:ilvl w:val="0"/>
          <w:numId w:val="1"/>
        </w:numPr>
      </w:pPr>
      <w:r>
        <w:t xml:space="preserve">**Section 10.02(e) — Amendments:** each Lender’s written consent is required to amend the relevant definitions or Sections 2.09(d) and 8.01(j).</w:t>
      </w:r>
    </w:p>
    <w:p>
      <w:r>
        <w:rPr/>
        <w:t xml:space="preserve"/>
      </w:r>
    </w:p>
    <w:p>
      <w:r>
        <w:rPr>
          <w:b/>
        </w:rPr>
        <w:t xml:space="preserve">Trigger, consent/notice, and timing.</w:t>
      </w:r>
    </w:p>
    <w:p>
      <w:r>
        <w:rPr/>
        <w:t xml:space="preserve"/>
      </w:r>
    </w:p>
    <w:p>
      <w:pPr>
        <w:ind w:left="720" w:hanging="360"/>
        <w:numPr>
          <w:ilvl w:val="0"/>
          <w:numId w:val="1"/>
        </w:numPr>
      </w:pPr>
      <w:r>
        <w:t xml:space="preserve">More than 50% acquisition of Borrower voting stock, or specified subsidiary ownership changes, triggers mandatory repayment.</w:t>
      </w:r>
    </w:p>
    <w:p>
      <w:pPr>
        <w:ind w:left="720" w:hanging="360"/>
        <w:numPr>
          <w:ilvl w:val="0"/>
          <w:numId w:val="1"/>
        </w:numPr>
      </w:pPr>
      <w:r>
        <w:t xml:space="preserve">More than 35% acquisition or a board-control change triggers an Event of Default, even without majority ownership.</w:t>
      </w:r>
    </w:p>
    <w:p>
      <w:pPr>
        <w:ind w:left="720" w:hanging="360"/>
        <w:numPr>
          <w:ilvl w:val="0"/>
          <w:numId w:val="1"/>
        </w:numPr>
      </w:pPr>
      <w:r>
        <w:t xml:space="preserve">Notice is required within five Business Days after knowledge of either event.</w:t>
      </w:r>
    </w:p>
    <w:p>
      <w:pPr>
        <w:ind w:left="720" w:hanging="360"/>
        <w:numPr>
          <w:ilvl w:val="0"/>
          <w:numId w:val="1"/>
        </w:numPr>
      </w:pPr>
      <w:r>
        <w:t xml:space="preserve">Full repayment following Section 2.09(d) is due within 30 days after the Change of Control.</w:t>
      </w:r>
    </w:p>
    <w:p>
      <w:pPr>
        <w:ind w:left="720" w:hanging="360"/>
        <w:numPr>
          <w:ilvl w:val="0"/>
          <w:numId w:val="1"/>
        </w:numPr>
      </w:pPr>
      <w:r>
        <w:t xml:space="preserve">A merger exception under Section 6.03 requires the Borrower to survive, no existing or resulting Default/Event of Default, and a compliance certificate at least 10 Business Days before closing. It does not waive the Change of Control or Change in Control provisions.</w:t>
      </w:r>
    </w:p>
    <w:p>
      <w:pPr>
        <w:ind w:left="720" w:hanging="360"/>
        <w:numPr>
          <w:ilvl w:val="0"/>
          <w:numId w:val="1"/>
        </w:numPr>
      </w:pPr>
      <w:r>
        <w:t xml:space="preserve">Unanimous Lender consent is required to amend or waive the core change-of-control provisions.</w:t>
      </w:r>
    </w:p>
    <w:p>
      <w:r>
        <w:rPr/>
        <w:t xml:space="preserve"/>
      </w:r>
    </w:p>
    <w:p>
      <w:r>
        <w:rPr>
          <w:b/>
        </w:rPr>
        <w:t xml:space="preserve">Consequences and adverse effects.</w:t>
      </w:r>
    </w:p>
    <w:p>
      <w:r>
        <w:rPr/>
        <w:t xml:space="preserve"/>
      </w:r>
    </w:p>
    <w:p>
      <w:pPr>
        <w:ind w:left="720" w:hanging="360"/>
        <w:numPr>
          <w:ilvl w:val="0"/>
          <w:numId w:val="1"/>
        </w:numPr>
      </w:pPr>
      <w:r>
        <w:t xml:space="preserve">Mandatory repayment of all Revolving Loans, accrued interest, and other amounts, with automatic termination of commitments.</w:t>
      </w:r>
    </w:p>
    <w:p>
      <w:pPr>
        <w:ind w:left="720" w:hanging="360"/>
        <w:numPr>
          <w:ilvl w:val="0"/>
          <w:numId w:val="1"/>
        </w:numPr>
      </w:pPr>
      <w:r>
        <w:t xml:space="preserve">A greater-than-35% ownership or board-control change may permit acceleration and commitment termination as an Event of Default.</w:t>
      </w:r>
    </w:p>
    <w:p>
      <w:pPr>
        <w:ind w:left="720" w:hanging="360"/>
        <w:numPr>
          <w:ilvl w:val="0"/>
          <w:numId w:val="1"/>
        </w:numPr>
      </w:pPr>
      <w:r>
        <w:t xml:space="preserve">Sale or transfer of subsidiary equity outside the permitted $2.5 million annual disposition basket may independently breach Section 6.04 and constitute an Event of Default.</w:t>
      </w:r>
    </w:p>
    <w:p>
      <w:pPr>
        <w:ind w:left="720" w:hanging="360"/>
        <w:numPr>
          <w:ilvl w:val="0"/>
          <w:numId w:val="1"/>
        </w:numPr>
      </w:pPr>
      <w:r>
        <w:t xml:space="preserve">Nonpermitted mergers, consolidations, liquidations, dissolutions, or asset sales are also restricted.</w:t>
      </w:r>
    </w:p>
    <w:p>
      <w:pPr>
        <w:ind w:left="720" w:hanging="360"/>
        <w:numPr>
          <w:ilvl w:val="0"/>
          <w:numId w:val="1"/>
        </w:numPr>
      </w:pPr>
      <w:r>
        <w:t xml:space="preserve">Material contract termination, rescission, or breach that could cause a Material Adverse Effect may create additional default exposure.</w:t>
      </w:r>
    </w:p>
    <w:p>
      <w:pPr>
        <w:ind w:left="720" w:hanging="360"/>
        <w:numPr>
          <w:ilvl w:val="0"/>
          <w:numId w:val="1"/>
        </w:numPr>
      </w:pPr>
      <w:r>
        <w:t xml:space="preserve">Affiliate transactions, investments, restricted payments, and post-closing restructurings must be tested against the negative covenants.</w:t>
      </w:r>
    </w:p>
    <w:p>
      <w:r>
        <w:rPr/>
        <w:t xml:space="preserve"/>
      </w:r>
    </w:p>
    <w:p>
      <w:r>
        <w:rPr>
          <w:b/>
        </w:rPr>
        <w:t xml:space="preserve">Risk rating: High.</w:t>
      </w:r>
    </w:p>
    <w:p>
      <w:r>
        <w:rPr/>
        <w:t xml:space="preserve">The agreement has a dual-trigger structure: a greater-than-50% transaction requires full repayment, while a greater-than-35% ownership or board change can trigger an Event of Default and acceleration. Majority Lender consent is insufficient for a waiver.</w:t>
      </w:r>
    </w:p>
    <w:p>
      <w:r>
        <w:rPr/>
        <w:t xml:space="preserve"/>
      </w:r>
    </w:p>
    <w:p>
      <w:r>
        <w:rPr>
          <w:b/>
        </w:rPr>
        <w:t xml:space="preserve">Practical diligence/action items.</w:t>
      </w:r>
    </w:p>
    <w:p>
      <w:r>
        <w:rPr/>
        <w:t xml:space="preserve"/>
      </w:r>
    </w:p>
    <w:p>
      <w:pPr>
        <w:ind w:left="720" w:hanging="360"/>
        <w:numPr>
          <w:ilvl w:val="0"/>
          <w:numId w:val="1"/>
        </w:numPr>
      </w:pPr>
      <w:r>
        <w:t xml:space="preserve">Obtain lender consent, waiver, or refinancing commitment before signing or closing.</w:t>
      </w:r>
    </w:p>
    <w:p>
      <w:pPr>
        <w:ind w:left="720" w:hanging="360"/>
        <w:numPr>
          <w:ilvl w:val="0"/>
          <w:numId w:val="1"/>
        </w:numPr>
      </w:pPr>
      <w:r>
        <w:t xml:space="preserve">Confirm the exact outstanding principal, accrued interest, fees, hedging obligations, and prepayment costs.</w:t>
      </w:r>
    </w:p>
    <w:p>
      <w:pPr>
        <w:ind w:left="720" w:hanging="360"/>
        <w:numPr>
          <w:ilvl w:val="0"/>
          <w:numId w:val="1"/>
        </w:numPr>
      </w:pPr>
      <w:r>
        <w:t xml:space="preserve">Analyze the transaction against both the 35% and 50% tests and the board-composition test.</w:t>
      </w:r>
    </w:p>
    <w:p>
      <w:pPr>
        <w:ind w:left="720" w:hanging="360"/>
        <w:numPr>
          <w:ilvl w:val="0"/>
          <w:numId w:val="1"/>
        </w:numPr>
      </w:pPr>
      <w:r>
        <w:t xml:space="preserve">Confirm treatment of the Apex–Kenji JV under the 51% exception and subsidiary definitions.</w:t>
      </w:r>
    </w:p>
    <w:p>
      <w:pPr>
        <w:ind w:left="720" w:hanging="360"/>
        <w:numPr>
          <w:ilvl w:val="0"/>
          <w:numId w:val="1"/>
        </w:numPr>
      </w:pPr>
      <w:r>
        <w:t xml:space="preserve">Review all Material Contracts for separate change-of-control or consent rights.</w:t>
      </w:r>
    </w:p>
    <w:p>
      <w:pPr>
        <w:ind w:left="720" w:hanging="360"/>
        <w:numPr>
          <w:ilvl w:val="0"/>
          <w:numId w:val="1"/>
        </w:numPr>
      </w:pPr>
      <w:r>
        <w:t xml:space="preserve">Build a five-Business-Day notice protocol and a 30-day repayment/refinancing timetable.</w:t>
      </w:r>
    </w:p>
    <w:p>
      <w:pPr>
        <w:ind w:left="720" w:hanging="360"/>
        <w:numPr>
          <w:ilvl w:val="0"/>
          <w:numId w:val="1"/>
        </w:numPr>
      </w:pPr>
      <w:r>
        <w:t xml:space="preserve">Confirm that any merger, investment, subsidiary transfer, equity repurchase, or restructuring complies with Sections 6.03–6.07.</w:t>
      </w:r>
    </w:p>
    <w:p>
      <w:r>
        <w:rPr/>
        <w:t xml:space="preserve"/>
      </w:r>
    </w:p>
    <w:p>
      <w:r>
        <w:rPr/>
        <w:t xml:space="preserve">---</w:t>
      </w:r>
    </w:p>
    <w:p>
      <w:r>
        <w:rPr/>
        <w:t xml:space="preserve"/>
      </w:r>
    </w:p>
    <w:p>
      <w:pPr>
        <w:pStyle w:val="Heading2"/>
      </w:pPr>
      <w:r>
        <w:rPr/>
        <w:t xml:space="preserve">3. Hendricks License Agreement</w:t>
      </w:r>
    </w:p>
    <w:p>
      <w:r>
        <w:rPr/>
        <w:t xml:space="preserve"/>
      </w:r>
    </w:p>
    <w:p>
      <w:r>
        <w:rPr>
          <w:b/>
        </w:rPr>
        <w:t xml:space="preserve">Document/parties and subject matter.</w:t>
      </w:r>
    </w:p>
    <w:p>
      <w:r>
        <w:rPr/>
        <w:t xml:space="preserve">Technology license agreement between Hendricks as Licensor and Apex as Licensee concerning FlowLogic technology and the AX-7000 Product Line.</w:t>
      </w:r>
    </w:p>
    <w:p>
      <w:r>
        <w:rPr/>
        <w:t xml:space="preserve"/>
      </w:r>
    </w:p>
    <w:p>
      <w:r>
        <w:rPr>
          <w:b/>
        </w:rPr>
        <w:t xml:space="preserve">Express Change-of-Control provision.</w:t>
      </w:r>
    </w:p>
    <w:p>
      <w:r>
        <w:rPr>
          <w:b/>
        </w:rPr>
        <w:t xml:space="preserve">Yes. The agreement contains an unusually broad Change of Control definition and related assignment and termination rights.</w:t>
      </w:r>
    </w:p>
    <w:p>
      <w:r>
        <w:rPr/>
        <w:t xml:space="preserve"/>
      </w:r>
    </w:p>
    <w:p>
      <w:r>
        <w:rPr>
          <w:b/>
        </w:rPr>
        <w:t xml:space="preserve">Key references and quotations.</w:t>
      </w:r>
    </w:p>
    <w:p>
      <w:r>
        <w:rPr/>
        <w:t xml:space="preserve"/>
      </w:r>
    </w:p>
    <w:p>
      <w:pPr>
        <w:ind w:left="720" w:hanging="360"/>
        <w:numPr>
          <w:ilvl w:val="0"/>
          <w:numId w:val="1"/>
        </w:numPr>
      </w:pPr>
      <w:r>
        <w:t xml:space="preserve">**Section 1.3 — Change of Control:** includes mergers, reorganizations, asset sales, acquisitions of more than 50% of Licensee voting securities, and “any other transaction…that results in a change in the identity of the person or persons who ultimately control Licensee.”</w:t>
      </w:r>
    </w:p>
    <w:p>
      <w:pPr>
        <w:ind w:left="720" w:hanging="360"/>
        <w:numPr>
          <w:ilvl w:val="0"/>
          <w:numId w:val="1"/>
        </w:numPr>
      </w:pPr>
      <w:r>
        <w:t xml:space="preserve">**Section 9.1 — Termination:**</w:t>
      </w:r>
    </w:p>
    <w:p>
      <w:pPr>
        <w:pStyle w:val="Quote"/>
      </w:pPr>
      <w:r>
        <w:rPr>
          <w:i/>
        </w:rPr>
        <w:t xml:space="preserve">“Licensor shall have the right to terminate this Agreement immediately upon written notice.”</w:t>
      </w:r>
    </w:p>
    <w:p>
      <w:pPr>
        <w:ind w:left="720" w:hanging="360"/>
        <w:numPr>
          <w:ilvl w:val="0"/>
          <w:numId w:val="1"/>
        </w:numPr>
      </w:pPr>
      <w:r>
        <w:t xml:space="preserve">Section 9.1 further states termination is at Hendricks’ “sole and absolute discretion” and requires no prior notice, cure period, or consent opportunity.</w:t>
      </w:r>
    </w:p>
    <w:p>
      <w:pPr>
        <w:ind w:left="720" w:hanging="360"/>
        <w:numPr>
          <w:ilvl w:val="0"/>
          <w:numId w:val="1"/>
        </w:numPr>
      </w:pPr>
      <w:r>
        <w:t xml:space="preserve">**Section 10.1 — Non-Assignment:**</w:t>
      </w:r>
    </w:p>
    <w:p>
      <w:pPr>
        <w:pStyle w:val="Quote"/>
      </w:pPr>
      <w:r>
        <w:rPr>
          <w:i/>
        </w:rPr>
        <w:t xml:space="preserve">“a Change of Control of Licensee shall be deemed an assignment by operation of law.”</w:t>
      </w:r>
    </w:p>
    <w:p>
      <w:pPr>
        <w:ind w:left="720" w:hanging="360"/>
        <w:numPr>
          <w:ilvl w:val="0"/>
          <w:numId w:val="1"/>
        </w:numPr>
      </w:pPr>
      <w:r>
        <w:t xml:space="preserve">Section 10.1 also provides that an unauthorized transfer is</w:t>
      </w:r>
    </w:p>
    <w:p>
      <w:pPr>
        <w:pStyle w:val="Quote"/>
      </w:pPr>
      <w:r>
        <w:rPr>
          <w:i/>
        </w:rPr>
        <w:t xml:space="preserve">“null and void and of no force or effect.”</w:t>
      </w:r>
    </w:p>
    <w:p>
      <w:pPr>
        <w:ind w:left="720" w:hanging="360"/>
        <w:numPr>
          <w:ilvl w:val="0"/>
          <w:numId w:val="1"/>
        </w:numPr>
      </w:pPr>
      <w:r>
        <w:t xml:space="preserve">**Section 9.5 — Effects:** all rights cease immediately; Apex must cease use; only a 90-day sell-off of qualifying existing inventory is permitted.</w:t>
      </w:r>
    </w:p>
    <w:p>
      <w:pPr>
        <w:ind w:left="720" w:hanging="360"/>
        <w:numPr>
          <w:ilvl w:val="0"/>
          <w:numId w:val="1"/>
        </w:numPr>
      </w:pPr>
      <w:r>
        <w:t xml:space="preserve">**Section 2.1:**</w:t>
      </w:r>
    </w:p>
    <w:p>
      <w:pPr>
        <w:pStyle w:val="Quote"/>
      </w:pPr>
      <w:r>
        <w:rPr>
          <w:i/>
        </w:rPr>
        <w:t xml:space="preserve">“This license is personal to Licensee and may not be transferred, sublicensed, or assigned.”</w:t>
      </w:r>
    </w:p>
    <w:p>
      <w:pPr>
        <w:ind w:left="720" w:hanging="360"/>
        <w:numPr>
          <w:ilvl w:val="0"/>
          <w:numId w:val="1"/>
        </w:numPr>
      </w:pPr>
      <w:r>
        <w:t xml:space="preserve">**Section 10.2:** Hendricks may freely assign to a successor or acquirer of its relevant technology business upon notice.</w:t>
      </w:r>
    </w:p>
    <w:p>
      <w:r>
        <w:rPr/>
        <w:t xml:space="preserve"/>
      </w:r>
    </w:p>
    <w:p>
      <w:r>
        <w:rPr>
          <w:b/>
        </w:rPr>
        <w:t xml:space="preserve">Trigger, consent/notice, and timing.</w:t>
      </w:r>
    </w:p>
    <w:p>
      <w:r>
        <w:rPr/>
        <w:t xml:space="preserve"/>
      </w:r>
    </w:p>
    <w:p>
      <w:pPr>
        <w:ind w:left="720" w:hanging="360"/>
        <w:numPr>
          <w:ilvl w:val="0"/>
          <w:numId w:val="1"/>
        </w:numPr>
      </w:pPr>
      <w:r>
        <w:t xml:space="preserve">Any merger, consolidation, reorganization, asset sale, greater-than-50% voting acquisition, or change in ultimate control of Apex qualifies.</w:t>
      </w:r>
    </w:p>
    <w:p>
      <w:pPr>
        <w:ind w:left="720" w:hanging="360"/>
        <w:numPr>
          <w:ilvl w:val="0"/>
          <w:numId w:val="1"/>
        </w:numPr>
      </w:pPr>
      <w:r>
        <w:t xml:space="preserve">No advance notice or consent procedure is provided that would assure approval before closing.</w:t>
      </w:r>
    </w:p>
    <w:p>
      <w:pPr>
        <w:ind w:left="720" w:hanging="360"/>
        <w:numPr>
          <w:ilvl w:val="0"/>
          <w:numId w:val="1"/>
        </w:numPr>
      </w:pPr>
      <w:r>
        <w:t xml:space="preserve">Hendricks may terminate immediately upon written notice after the Change of Control.</w:t>
      </w:r>
    </w:p>
    <w:p>
      <w:pPr>
        <w:ind w:left="720" w:hanging="360"/>
        <w:numPr>
          <w:ilvl w:val="0"/>
          <w:numId w:val="1"/>
        </w:numPr>
      </w:pPr>
      <w:r>
        <w:t xml:space="preserve">Any assignment or Change of Control also requires Hendricks’ prior written consent, which may be withheld in its sole discretion.</w:t>
      </w:r>
    </w:p>
    <w:p>
      <w:pPr>
        <w:ind w:left="720" w:hanging="360"/>
        <w:numPr>
          <w:ilvl w:val="0"/>
          <w:numId w:val="1"/>
        </w:numPr>
      </w:pPr>
      <w:r>
        <w:t xml:space="preserve">No deemed consent or response deadline applies.</w:t>
      </w:r>
    </w:p>
    <w:p>
      <w:r>
        <w:rPr/>
        <w:t xml:space="preserve"/>
      </w:r>
    </w:p>
    <w:p>
      <w:r>
        <w:rPr>
          <w:b/>
        </w:rPr>
        <w:t xml:space="preserve">Consequences and adverse effects.</w:t>
      </w:r>
    </w:p>
    <w:p>
      <w:r>
        <w:rPr/>
        <w:t xml:space="preserve"/>
      </w:r>
    </w:p>
    <w:p>
      <w:pPr>
        <w:ind w:left="720" w:hanging="360"/>
        <w:numPr>
          <w:ilvl w:val="0"/>
          <w:numId w:val="1"/>
        </w:numPr>
      </w:pPr>
      <w:r>
        <w:t xml:space="preserve">Immediate termination and loss of all license rights.</w:t>
      </w:r>
    </w:p>
    <w:p>
      <w:pPr>
        <w:ind w:left="720" w:hanging="360"/>
        <w:numPr>
          <w:ilvl w:val="0"/>
          <w:numId w:val="1"/>
        </w:numPr>
      </w:pPr>
      <w:r>
        <w:t xml:space="preserve">Immediate cessation of use and manufacturing.</w:t>
      </w:r>
    </w:p>
    <w:p>
      <w:pPr>
        <w:ind w:left="720" w:hanging="360"/>
        <w:numPr>
          <w:ilvl w:val="0"/>
          <w:numId w:val="1"/>
        </w:numPr>
      </w:pPr>
      <w:r>
        <w:t xml:space="preserve">Only a 90-day sell-off for products fully manufactured before termination; no new manufacturing during that period.</w:t>
      </w:r>
    </w:p>
    <w:p>
      <w:pPr>
        <w:ind w:left="720" w:hanging="360"/>
        <w:numPr>
          <w:ilvl w:val="0"/>
          <w:numId w:val="1"/>
        </w:numPr>
      </w:pPr>
      <w:r>
        <w:t xml:space="preserve">Accrued unpaid fees and royalties become immediately due.</w:t>
      </w:r>
    </w:p>
    <w:p>
      <w:pPr>
        <w:ind w:left="720" w:hanging="360"/>
        <w:numPr>
          <w:ilvl w:val="0"/>
          <w:numId w:val="1"/>
        </w:numPr>
      </w:pPr>
      <w:r>
        <w:t xml:space="preserve">An unauthorized transfer is expressly void and may independently trigger termination.</w:t>
      </w:r>
    </w:p>
    <w:p>
      <w:pPr>
        <w:ind w:left="720" w:hanging="360"/>
        <w:numPr>
          <w:ilvl w:val="0"/>
          <w:numId w:val="1"/>
        </w:numPr>
      </w:pPr>
      <w:r>
        <w:t xml:space="preserve">Post-closing sublicensing, Affiliate use, or expanded product use requires prior written consent, also subject to sole discretion.</w:t>
      </w:r>
    </w:p>
    <w:p>
      <w:pPr>
        <w:ind w:left="720" w:hanging="360"/>
        <w:numPr>
          <w:ilvl w:val="0"/>
          <w:numId w:val="1"/>
        </w:numPr>
      </w:pPr>
      <w:r>
        <w:t xml:space="preserve">Apex-developed improvements and derivative works are owned by Hendricks under Section 5.2.</w:t>
      </w:r>
    </w:p>
    <w:p>
      <w:pPr>
        <w:ind w:left="720" w:hanging="360"/>
        <w:numPr>
          <w:ilvl w:val="0"/>
          <w:numId w:val="1"/>
        </w:numPr>
      </w:pPr>
      <w:r>
        <w:t xml:space="preserve">The license expires on February 28, 2030 unless renewed by mutual written agreement.</w:t>
      </w:r>
    </w:p>
    <w:p>
      <w:r>
        <w:rPr/>
        <w:t xml:space="preserve"/>
      </w:r>
    </w:p>
    <w:p>
      <w:r>
        <w:rPr>
          <w:b/>
        </w:rPr>
        <w:t xml:space="preserve">Risk rating: High.</w:t>
      </w:r>
    </w:p>
    <w:p>
      <w:r>
        <w:rPr/>
        <w:t xml:space="preserve">Loss of the license could immediately impair manufacture, sale, support, and commercialization of the AX-7000 Product Line. The absence of an Affiliate, internal-reorganization, surviving-entity, or equivalent-successor exception substantially increases transaction risk.</w:t>
      </w:r>
    </w:p>
    <w:p>
      <w:r>
        <w:rPr/>
        <w:t xml:space="preserve"/>
      </w:r>
    </w:p>
    <w:p>
      <w:r>
        <w:rPr>
          <w:b/>
        </w:rPr>
        <w:t xml:space="preserve">Practical diligence/action items.</w:t>
      </w:r>
    </w:p>
    <w:p>
      <w:r>
        <w:rPr/>
        <w:t xml:space="preserve"/>
      </w:r>
    </w:p>
    <w:p>
      <w:pPr>
        <w:ind w:left="720" w:hanging="360"/>
        <w:numPr>
          <w:ilvl w:val="0"/>
          <w:numId w:val="1"/>
        </w:numPr>
      </w:pPr>
      <w:r>
        <w:t xml:space="preserve">Make Hendricks’ written consent and waiver of termination rights a closing condition.</w:t>
      </w:r>
    </w:p>
    <w:p>
      <w:pPr>
        <w:ind w:left="720" w:hanging="360"/>
        <w:numPr>
          <w:ilvl w:val="0"/>
          <w:numId w:val="1"/>
        </w:numPr>
      </w:pPr>
      <w:r>
        <w:t xml:space="preserve">Seek a buyer-friendly amendment covering internal reorganizations, Affiliate transfers, surviving mergers, and approved successors.</w:t>
      </w:r>
    </w:p>
    <w:p>
      <w:pPr>
        <w:ind w:left="720" w:hanging="360"/>
        <w:numPr>
          <w:ilvl w:val="0"/>
          <w:numId w:val="1"/>
        </w:numPr>
      </w:pPr>
      <w:r>
        <w:t xml:space="preserve">Confirm the scope and duration of any sell-off, warranty, service, and customer-support rights.</w:t>
      </w:r>
    </w:p>
    <w:p>
      <w:pPr>
        <w:ind w:left="720" w:hanging="360"/>
        <w:numPr>
          <w:ilvl w:val="0"/>
          <w:numId w:val="1"/>
        </w:numPr>
      </w:pPr>
      <w:r>
        <w:t xml:space="preserve">Identify all products, contracts, customers, suppliers, and manufacturing sites dependent on FlowLogic.</w:t>
      </w:r>
    </w:p>
    <w:p>
      <w:pPr>
        <w:ind w:left="720" w:hanging="360"/>
        <w:numPr>
          <w:ilvl w:val="0"/>
          <w:numId w:val="1"/>
        </w:numPr>
      </w:pPr>
      <w:r>
        <w:t xml:space="preserve">Audit ownership of improvements, derivative works, firmware, and other AX-7000 technology.</w:t>
      </w:r>
    </w:p>
    <w:p>
      <w:pPr>
        <w:ind w:left="720" w:hanging="360"/>
        <w:numPr>
          <w:ilvl w:val="0"/>
          <w:numId w:val="1"/>
        </w:numPr>
      </w:pPr>
      <w:r>
        <w:t xml:space="preserve">Obtain consent for any post-closing sublicense, Affiliate use, contract manufacturing, or integration.</w:t>
      </w:r>
    </w:p>
    <w:p>
      <w:pPr>
        <w:ind w:left="720" w:hanging="360"/>
        <w:numPr>
          <w:ilvl w:val="0"/>
          <w:numId w:val="1"/>
        </w:numPr>
      </w:pPr>
      <w:r>
        <w:t xml:space="preserve">Address renewal beyond February 28, 2030 and require transition assistance if termination remains possible.</w:t>
      </w:r>
    </w:p>
    <w:p>
      <w:r>
        <w:rPr/>
        <w:t xml:space="preserve"/>
      </w:r>
    </w:p>
    <w:p>
      <w:r>
        <w:rPr/>
        <w:t xml:space="preserve">---</w:t>
      </w:r>
    </w:p>
    <w:p>
      <w:r>
        <w:rPr/>
        <w:t xml:space="preserve"/>
      </w:r>
    </w:p>
    <w:p>
      <w:pPr>
        <w:pStyle w:val="Heading2"/>
      </w:pPr>
      <w:r>
        <w:rPr/>
        <w:t xml:space="preserve">4. Hesse Employment Agreement and Exhibit A</w:t>
      </w:r>
    </w:p>
    <w:p>
      <w:r>
        <w:rPr/>
        <w:t xml:space="preserve"/>
      </w:r>
    </w:p>
    <w:p>
      <w:r>
        <w:rPr>
          <w:b/>
        </w:rPr>
        <w:t xml:space="preserve">Document/parties and subject matter.</w:t>
      </w:r>
    </w:p>
    <w:p>
      <w:r>
        <w:rPr/>
        <w:t xml:space="preserve">Employment agreement between the Company and an executive, together with Exhibit A addressing the proposed merger and RSU treatment.</w:t>
      </w:r>
    </w:p>
    <w:p>
      <w:r>
        <w:rPr/>
        <w:t xml:space="preserve"/>
      </w:r>
    </w:p>
    <w:p>
      <w:r>
        <w:rPr>
          <w:b/>
        </w:rPr>
        <w:t xml:space="preserve">Express Change-of-Control provision.</w:t>
      </w:r>
    </w:p>
    <w:p>
      <w:r>
        <w:rPr>
          <w:b/>
        </w:rPr>
        <w:t xml:space="preserve">Yes. The agreement includes a broad definition, mandatory notice, single-trigger equity acceleration, and double-trigger severance.</w:t>
      </w:r>
    </w:p>
    <w:p>
      <w:r>
        <w:rPr/>
        <w:t xml:space="preserve"/>
      </w:r>
    </w:p>
    <w:p>
      <w:r>
        <w:rPr>
          <w:b/>
        </w:rPr>
        <w:t xml:space="preserve">Key references and quotations.</w:t>
      </w:r>
    </w:p>
    <w:p>
      <w:r>
        <w:rPr/>
        <w:t xml:space="preserve"/>
      </w:r>
    </w:p>
    <w:p>
      <w:pPr>
        <w:ind w:left="720" w:hanging="360"/>
        <w:numPr>
          <w:ilvl w:val="0"/>
          <w:numId w:val="1"/>
        </w:numPr>
      </w:pPr>
      <w:r>
        <w:t xml:space="preserve">**Section 1 — Change of Control:** includes specified mergers, asset sales, acquisitions of more than 50% voting power, and a 24-month board-composition change.</w:t>
      </w:r>
    </w:p>
    <w:p>
      <w:pPr>
        <w:ind w:left="720" w:hanging="360"/>
        <w:numPr>
          <w:ilvl w:val="0"/>
          <w:numId w:val="1"/>
        </w:numPr>
      </w:pPr>
      <w:r>
        <w:t xml:space="preserve">**Section 5.1 — Notice:**</w:t>
      </w:r>
    </w:p>
    <w:p>
      <w:pPr>
        <w:pStyle w:val="Quote"/>
      </w:pPr>
      <w:r>
        <w:rPr>
          <w:i/>
        </w:rPr>
        <w:t xml:space="preserve">“written notice of any anticipated Change of Control no later than fifteen (15) business days prior to the expected consummation.”</w:t>
      </w:r>
    </w:p>
    <w:p>
      <w:pPr>
        <w:ind w:left="720" w:hanging="360"/>
        <w:numPr>
          <w:ilvl w:val="0"/>
          <w:numId w:val="1"/>
        </w:numPr>
      </w:pPr>
      <w:r>
        <w:t xml:space="preserve">**Section 5.3 — Severance:** qualifying termination within 24 months entitles Executive to:</w:t>
      </w:r>
    </w:p>
    <w:p>
      <w:pPr>
        <w:pStyle w:val="Quote"/>
      </w:pPr>
      <w:r>
        <w:rPr>
          <w:i/>
        </w:rPr>
        <w:t xml:space="preserve">“a lump-sum cash severance payment equal to two times (2.0x)” Base Salary plus Target Bonus,</w:t>
      </w:r>
    </w:p>
    <w:p>
      <w:r>
        <w:rPr/>
        <w:t xml:space="preserve">together with 24 months’ health coverage, a pro rata bonus, and equity acceleration.</w:t>
      </w:r>
    </w:p>
    <w:p>
      <w:pPr>
        <w:ind w:left="720" w:hanging="360"/>
        <w:numPr>
          <w:ilvl w:val="0"/>
          <w:numId w:val="1"/>
        </w:numPr>
      </w:pPr>
      <w:r>
        <w:t xml:space="preserve">**Section 5.4 — Equity acceleration:**</w:t>
      </w:r>
    </w:p>
    <w:p>
      <w:pPr>
        <w:pStyle w:val="Quote"/>
      </w:pPr>
      <w:r>
        <w:rPr>
          <w:i/>
        </w:rPr>
        <w:t xml:space="preserve">“all of Executive's then-unvested Equity Awards shall immediately and automatically vest.”</w:t>
      </w:r>
    </w:p>
    <w:p>
      <w:pPr>
        <w:ind w:left="720" w:hanging="360"/>
        <w:numPr>
          <w:ilvl w:val="0"/>
          <w:numId w:val="1"/>
        </w:numPr>
      </w:pPr>
      <w:r>
        <w:t xml:space="preserve">Section 5.4 states acceleration does not require termination and supersedes contrary equity-plan or award provisions.</w:t>
      </w:r>
    </w:p>
    <w:p>
      <w:pPr>
        <w:ind w:left="720" w:hanging="360"/>
        <w:numPr>
          <w:ilvl w:val="0"/>
          <w:numId w:val="1"/>
        </w:numPr>
      </w:pPr>
      <w:r>
        <w:t xml:space="preserve">**Section 5.5 — Section 280G:** provides for reduction of payments to avoid excess parachute payments.</w:t>
      </w:r>
    </w:p>
    <w:p>
      <w:pPr>
        <w:ind w:left="720" w:hanging="360"/>
        <w:numPr>
          <w:ilvl w:val="0"/>
          <w:numId w:val="1"/>
        </w:numPr>
      </w:pPr>
      <w:r>
        <w:t xml:space="preserve">**Section 8.3 — Assignment:** successor may assume the agreement in a merger, consolidation, or sale of substantially all business or assets.</w:t>
      </w:r>
    </w:p>
    <w:p>
      <w:pPr>
        <w:ind w:left="720" w:hanging="360"/>
        <w:numPr>
          <w:ilvl w:val="0"/>
          <w:numId w:val="1"/>
        </w:numPr>
      </w:pPr>
      <w:r>
        <w:t xml:space="preserve">**Exhibit A, Section 1:** confirms the proposed merger’s RSU rollover treatment conflicts with Section 5.4.</w:t>
      </w:r>
    </w:p>
    <w:p>
      <w:pPr>
        <w:ind w:left="720" w:hanging="360"/>
        <w:numPr>
          <w:ilvl w:val="0"/>
          <w:numId w:val="1"/>
        </w:numPr>
      </w:pPr>
      <w:r>
        <w:t xml:space="preserve">**Exhibit A, Section 3:**</w:t>
      </w:r>
    </w:p>
    <w:p>
      <w:pPr>
        <w:pStyle w:val="Quote"/>
      </w:pPr>
      <w:r>
        <w:rPr>
          <w:i/>
        </w:rPr>
        <w:t xml:space="preserve">“Section 5.4…remains in full force and effect and has not been amended or waived.”</w:t>
      </w:r>
    </w:p>
    <w:p>
      <w:r>
        <w:rPr/>
        <w:t xml:space="preserve"/>
      </w:r>
    </w:p>
    <w:p>
      <w:r>
        <w:rPr>
          <w:b/>
        </w:rPr>
        <w:t xml:space="preserve">Trigger, consent/notice, and timing.</w:t>
      </w:r>
    </w:p>
    <w:p>
      <w:r>
        <w:rPr/>
        <w:t xml:space="preserve"/>
      </w:r>
    </w:p>
    <w:p>
      <w:pPr>
        <w:ind w:left="720" w:hanging="360"/>
        <w:numPr>
          <w:ilvl w:val="0"/>
          <w:numId w:val="1"/>
        </w:numPr>
      </w:pPr>
      <w:r>
        <w:t xml:space="preserve">Company must provide notice at least 15 business days before anticipated consummation.</w:t>
      </w:r>
    </w:p>
    <w:p>
      <w:pPr>
        <w:ind w:left="720" w:hanging="360"/>
        <w:numPr>
          <w:ilvl w:val="0"/>
          <w:numId w:val="1"/>
        </w:numPr>
      </w:pPr>
      <w:r>
        <w:t xml:space="preserve">Equity acceleration occurs automatically at closing, without termination or consent.</w:t>
      </w:r>
    </w:p>
    <w:p>
      <w:pPr>
        <w:ind w:left="720" w:hanging="360"/>
        <w:numPr>
          <w:ilvl w:val="0"/>
          <w:numId w:val="1"/>
        </w:numPr>
      </w:pPr>
      <w:r>
        <w:t xml:space="preserve">Enhanced severance applies if the Company or successor terminates without Cause, or Executive resigns for Good Reason, within 24 months after closing.</w:t>
      </w:r>
    </w:p>
    <w:p>
      <w:pPr>
        <w:ind w:left="720" w:hanging="360"/>
        <w:numPr>
          <w:ilvl w:val="0"/>
          <w:numId w:val="1"/>
        </w:numPr>
      </w:pPr>
      <w:r>
        <w:t xml:space="preserve">Good Reason includes material diminution of duties, more than 10% salary reduction, relocation of more than 50 miles, or material breach, subject to notice and cure mechanics.</w:t>
      </w:r>
    </w:p>
    <w:p>
      <w:pPr>
        <w:ind w:left="720" w:hanging="360"/>
        <w:numPr>
          <w:ilvl w:val="0"/>
          <w:numId w:val="1"/>
        </w:numPr>
      </w:pPr>
      <w:r>
        <w:t xml:space="preserve">Severance is conditioned on a release executed within 60 days after termination, but equity acceleration is not release-conditioned.</w:t>
      </w:r>
    </w:p>
    <w:p>
      <w:pPr>
        <w:ind w:left="720" w:hanging="360"/>
        <w:numPr>
          <w:ilvl w:val="0"/>
          <w:numId w:val="1"/>
        </w:numPr>
      </w:pPr>
      <w:r>
        <w:t xml:space="preserve">Exhibit A requires good-faith negotiations before closing but expressly does not waive Section 5.4.</w:t>
      </w:r>
    </w:p>
    <w:p>
      <w:r>
        <w:rPr/>
        <w:t xml:space="preserve"/>
      </w:r>
    </w:p>
    <w:p>
      <w:r>
        <w:rPr>
          <w:b/>
        </w:rPr>
        <w:t xml:space="preserve">Consequences and adverse effects.</w:t>
      </w:r>
    </w:p>
    <w:p>
      <w:r>
        <w:rPr/>
        <w:t xml:space="preserve"/>
      </w:r>
    </w:p>
    <w:p>
      <w:pPr>
        <w:ind w:left="720" w:hanging="360"/>
        <w:numPr>
          <w:ilvl w:val="0"/>
          <w:numId w:val="1"/>
        </w:numPr>
      </w:pPr>
      <w:r>
        <w:t xml:space="preserve">Immediate vesting of all unvested equity awards at closing.</w:t>
      </w:r>
    </w:p>
    <w:p>
      <w:pPr>
        <w:ind w:left="720" w:hanging="360"/>
        <w:numPr>
          <w:ilvl w:val="0"/>
          <w:numId w:val="1"/>
        </w:numPr>
      </w:pPr>
      <w:r>
        <w:t xml:space="preserve">The supplied review quantifies the existing exposure at approximately 45,000 unvested RSUs, representing approximately 14,139 Parent shares and an indicated value of approximately $967,230, subject to market movement.</w:t>
      </w:r>
    </w:p>
    <w:p>
      <w:pPr>
        <w:ind w:left="720" w:hanging="360"/>
        <w:numPr>
          <w:ilvl w:val="0"/>
          <w:numId w:val="1"/>
        </w:numPr>
      </w:pPr>
      <w:r>
        <w:t xml:space="preserve">Cash severance is stated as approximately $1,232,000, plus benefits, bonus, and equity acceleration.</w:t>
      </w:r>
    </w:p>
    <w:p>
      <w:pPr>
        <w:ind w:left="720" w:hanging="360"/>
        <w:numPr>
          <w:ilvl w:val="0"/>
          <w:numId w:val="1"/>
        </w:numPr>
      </w:pPr>
      <w:r>
        <w:t xml:space="preserve">A qualifying termination may create substantial successor liability for 24 months.</w:t>
      </w:r>
    </w:p>
    <w:p>
      <w:pPr>
        <w:ind w:left="720" w:hanging="360"/>
        <w:numPr>
          <w:ilvl w:val="0"/>
          <w:numId w:val="1"/>
        </w:numPr>
      </w:pPr>
      <w:r>
        <w:t xml:space="preserve">Section 280G may reduce payments, but requires transaction-specific tax and valuation analysis.</w:t>
      </w:r>
    </w:p>
    <w:p>
      <w:pPr>
        <w:ind w:left="720" w:hanging="360"/>
        <w:numPr>
          <w:ilvl w:val="0"/>
          <w:numId w:val="1"/>
        </w:numPr>
      </w:pPr>
      <w:r>
        <w:t xml:space="preserve">Exhibit A’s contemplated RSU rollover conflicts directly with the employment agreement’s acceleration right. Executive consent or waiver may be a required closing consent under the Merger Agreement.</w:t>
      </w:r>
    </w:p>
    <w:p>
      <w:r>
        <w:rPr/>
        <w:t xml:space="preserve"/>
      </w:r>
    </w:p>
    <w:p>
      <w:r>
        <w:rPr>
          <w:b/>
        </w:rPr>
        <w:t xml:space="preserve">Risk rating: High.</w:t>
      </w:r>
    </w:p>
    <w:p>
      <w:r>
        <w:rPr/>
        <w:t xml:space="preserve">The agreement creates a material closing cost and execution risk through single-trigger equity acceleration, potential executive leverage over the merger, substantial severance, and 280G implications.</w:t>
      </w:r>
    </w:p>
    <w:p>
      <w:r>
        <w:rPr/>
        <w:t xml:space="preserve"/>
      </w:r>
    </w:p>
    <w:p>
      <w:r>
        <w:rPr>
          <w:b/>
        </w:rPr>
        <w:t xml:space="preserve">Practical diligence/action items.</w:t>
      </w:r>
    </w:p>
    <w:p>
      <w:r>
        <w:rPr/>
        <w:t xml:space="preserve"/>
      </w:r>
    </w:p>
    <w:p>
      <w:pPr>
        <w:ind w:left="720" w:hanging="360"/>
        <w:numPr>
          <w:ilvl w:val="0"/>
          <w:numId w:val="1"/>
        </w:numPr>
      </w:pPr>
      <w:r>
        <w:t xml:space="preserve">Obtain a signed amendment or waiver resolving the Exhibit A conflict before closing.</w:t>
      </w:r>
    </w:p>
    <w:p>
      <w:pPr>
        <w:ind w:left="720" w:hanging="360"/>
        <w:numPr>
          <w:ilvl w:val="0"/>
          <w:numId w:val="1"/>
        </w:numPr>
      </w:pPr>
      <w:r>
        <w:t xml:space="preserve">Confirm whether Executive consent or waiver is a formal closing condition.</w:t>
      </w:r>
    </w:p>
    <w:p>
      <w:pPr>
        <w:ind w:left="720" w:hanging="360"/>
        <w:numPr>
          <w:ilvl w:val="0"/>
          <w:numId w:val="1"/>
        </w:numPr>
      </w:pPr>
      <w:r>
        <w:t xml:space="preserve">Reconcile the employment agreement, equity plans, award agreements, merger agreement, and rollover treatment.</w:t>
      </w:r>
    </w:p>
    <w:p>
      <w:pPr>
        <w:ind w:left="720" w:hanging="360"/>
        <w:numPr>
          <w:ilvl w:val="0"/>
          <w:numId w:val="1"/>
        </w:numPr>
      </w:pPr>
      <w:r>
        <w:t xml:space="preserve">Obtain a current capitalization and equity-award schedule and update the acceleration valuation.</w:t>
      </w:r>
    </w:p>
    <w:p>
      <w:pPr>
        <w:ind w:left="720" w:hanging="360"/>
        <w:numPr>
          <w:ilvl w:val="0"/>
          <w:numId w:val="1"/>
        </w:numPr>
      </w:pPr>
      <w:r>
        <w:t xml:space="preserve">Model severance, benefits, bonus, equity, payroll taxes, and 280G outcomes.</w:t>
      </w:r>
    </w:p>
    <w:p>
      <w:pPr>
        <w:ind w:left="720" w:hanging="360"/>
        <w:numPr>
          <w:ilvl w:val="0"/>
          <w:numId w:val="1"/>
        </w:numPr>
      </w:pPr>
      <w:r>
        <w:t xml:space="preserve">Develop a post-closing retention and reporting-line plan that avoids Good Reason triggers.</w:t>
      </w:r>
    </w:p>
    <w:p>
      <w:pPr>
        <w:ind w:left="720" w:hanging="360"/>
        <w:numPr>
          <w:ilvl w:val="0"/>
          <w:numId w:val="1"/>
        </w:numPr>
      </w:pPr>
      <w:r>
        <w:t xml:space="preserve">Confirm successor assumption language and responsibility for all accrued and future obligations.</w:t>
      </w:r>
    </w:p>
    <w:p>
      <w:r>
        <w:rPr/>
        <w:t xml:space="preserve"/>
      </w:r>
    </w:p>
    <w:p>
      <w:r>
        <w:rPr/>
        <w:t xml:space="preserve">---</w:t>
      </w:r>
    </w:p>
    <w:p>
      <w:r>
        <w:rPr/>
        <w:t xml:space="preserve"/>
      </w:r>
    </w:p>
    <w:p>
      <w:pPr>
        <w:pStyle w:val="Heading2"/>
      </w:pPr>
      <w:r>
        <w:rPr/>
        <w:t xml:space="preserve">5. Crescent Ridge Headquarters Lease</w:t>
      </w:r>
    </w:p>
    <w:p>
      <w:r>
        <w:rPr/>
        <w:t xml:space="preserve"/>
      </w:r>
    </w:p>
    <w:p>
      <w:r>
        <w:rPr>
          <w:b/>
        </w:rPr>
        <w:t xml:space="preserve">Document/parties and subject matter.</w:t>
      </w:r>
    </w:p>
    <w:p>
      <w:r>
        <w:rPr/>
        <w:t xml:space="preserve">Lease between Apex Industrial Technologies, Inc. as Tenant and the landlord identified in the lease as Landlord, covering the headquarters premises.</w:t>
      </w:r>
    </w:p>
    <w:p>
      <w:r>
        <w:rPr/>
        <w:t xml:space="preserve"/>
      </w:r>
    </w:p>
    <w:p>
      <w:r>
        <w:rPr>
          <w:b/>
        </w:rPr>
        <w:t xml:space="preserve">Express Change-of-Control provision.</w:t>
      </w:r>
    </w:p>
    <w:p>
      <w:r>
        <w:rPr>
          <w:b/>
        </w:rPr>
        <w:t xml:space="preserve">Yes. Section 22.2 treats a broad range of transactions as a “Deemed Assignment.”</w:t>
      </w:r>
    </w:p>
    <w:p>
      <w:r>
        <w:rPr/>
        <w:t xml:space="preserve"/>
      </w:r>
    </w:p>
    <w:p>
      <w:r>
        <w:rPr>
          <w:b/>
        </w:rPr>
        <w:t xml:space="preserve">Key references and quotations.</w:t>
      </w:r>
    </w:p>
    <w:p>
      <w:r>
        <w:rPr/>
        <w:t xml:space="preserve"/>
      </w:r>
    </w:p>
    <w:p>
      <w:pPr>
        <w:ind w:left="720" w:hanging="360"/>
        <w:numPr>
          <w:ilvl w:val="0"/>
          <w:numId w:val="1"/>
        </w:numPr>
      </w:pPr>
      <w:r>
        <w:t xml:space="preserve">**Section 22.1 — Consent:**</w:t>
      </w:r>
    </w:p>
    <w:p>
      <w:pPr>
        <w:pStyle w:val="Quote"/>
      </w:pPr>
      <w:r>
        <w:rPr>
          <w:i/>
        </w:rPr>
        <w:t xml:space="preserve">“Tenant shall not, without the prior written consent of Landlord, assign this Lease or any interest herein.”</w:t>
      </w:r>
    </w:p>
    <w:p>
      <w:pPr>
        <w:ind w:left="720" w:hanging="360"/>
        <w:numPr>
          <w:ilvl w:val="0"/>
          <w:numId w:val="1"/>
        </w:numPr>
      </w:pPr>
      <w:r>
        <w:t xml:space="preserve">Unauthorized transfers are</w:t>
      </w:r>
    </w:p>
    <w:p>
      <w:pPr>
        <w:pStyle w:val="Quote"/>
      </w:pPr>
      <w:r>
        <w:rPr>
          <w:i/>
        </w:rPr>
        <w:t xml:space="preserve">“void and of no force or effect” and an Event of Default.</w:t>
      </w:r>
    </w:p>
    <w:p>
      <w:pPr>
        <w:ind w:left="720" w:hanging="360"/>
        <w:numPr>
          <w:ilvl w:val="0"/>
          <w:numId w:val="1"/>
        </w:numPr>
      </w:pPr>
      <w:r>
        <w:t xml:space="preserve">**Section 22.2 — Deemed Assignment:** includes</w:t>
      </w:r>
    </w:p>
    <w:p>
      <w:pPr>
        <w:pStyle w:val="Quote"/>
      </w:pPr>
      <w:r>
        <w:rPr>
          <w:i/>
        </w:rPr>
        <w:t xml:space="preserve">“Any change in control of Tenant,”</w:t>
      </w:r>
    </w:p>
    <w:p>
      <w:r>
        <w:rPr/>
        <w:t xml:space="preserve">transfers or changes in upstream ownership that change the controlling person or group, and sales of substantially all assets.</w:t>
      </w:r>
    </w:p>
    <w:p>
      <w:pPr>
        <w:ind w:left="720" w:hanging="360"/>
        <w:numPr>
          <w:ilvl w:val="0"/>
          <w:numId w:val="1"/>
        </w:numPr>
      </w:pPr>
      <w:r>
        <w:t xml:space="preserve">It applies to forward, reverse, and triangular mergers, share exchanges, asset acquisitions, recapitalizations, and similar combinations.</w:t>
      </w:r>
    </w:p>
    <w:p>
      <w:pPr>
        <w:ind w:left="720" w:hanging="360"/>
        <w:numPr>
          <w:ilvl w:val="0"/>
          <w:numId w:val="1"/>
        </w:numPr>
      </w:pPr>
      <w:r>
        <w:t xml:space="preserve">**Section 22.3:** Landlord’s consent may not be unreasonably withheld, conditioned, or delayed, but silence is deemed a denial.</w:t>
      </w:r>
    </w:p>
    <w:p>
      <w:pPr>
        <w:ind w:left="720" w:hanging="360"/>
        <w:numPr>
          <w:ilvl w:val="0"/>
          <w:numId w:val="1"/>
        </w:numPr>
      </w:pPr>
      <w:r>
        <w:t xml:space="preserve">**Section 12.2:** Landlord may terminate, repossess, and accelerate Rent.</w:t>
      </w:r>
    </w:p>
    <w:p>
      <w:pPr>
        <w:ind w:left="720" w:hanging="360"/>
        <w:numPr>
          <w:ilvl w:val="0"/>
          <w:numId w:val="1"/>
        </w:numPr>
      </w:pPr>
      <w:r>
        <w:t xml:space="preserve">**Section 22.4:** provides 120-day termination, an 18-month early termination fee, recapture, and cumulative remedies.</w:t>
      </w:r>
    </w:p>
    <w:p>
      <w:pPr>
        <w:ind w:left="720" w:hanging="360"/>
        <w:numPr>
          <w:ilvl w:val="0"/>
          <w:numId w:val="1"/>
        </w:numPr>
      </w:pPr>
      <w:r>
        <w:t xml:space="preserve">**Section 3.3:** the renewal option is personal to Apex and requires Landlord’s consent for a successor or transferee.</w:t>
      </w:r>
    </w:p>
    <w:p>
      <w:r>
        <w:rPr/>
        <w:t xml:space="preserve"/>
      </w:r>
    </w:p>
    <w:p>
      <w:r>
        <w:rPr>
          <w:b/>
        </w:rPr>
        <w:t xml:space="preserve">Trigger, consent/notice, and timing.</w:t>
      </w:r>
    </w:p>
    <w:p>
      <w:r>
        <w:rPr/>
        <w:t xml:space="preserve"/>
      </w:r>
    </w:p>
    <w:p>
      <w:pPr>
        <w:ind w:left="720" w:hanging="360"/>
        <w:numPr>
          <w:ilvl w:val="0"/>
          <w:numId w:val="1"/>
        </w:numPr>
      </w:pPr>
      <w:r>
        <w:t xml:space="preserve">Any direct or indirect change in control, merger, upstream ownership change, controlling equity transfer, or sale of substantially all assets.</w:t>
      </w:r>
    </w:p>
    <w:p>
      <w:pPr>
        <w:ind w:left="720" w:hanging="360"/>
        <w:numPr>
          <w:ilvl w:val="0"/>
          <w:numId w:val="1"/>
        </w:numPr>
      </w:pPr>
      <w:r>
        <w:t xml:space="preserve">Prior written Landlord consent is required.</w:t>
      </w:r>
    </w:p>
    <w:p>
      <w:pPr>
        <w:ind w:left="720" w:hanging="360"/>
        <w:numPr>
          <w:ilvl w:val="0"/>
          <w:numId w:val="1"/>
        </w:numPr>
      </w:pPr>
      <w:r>
        <w:t xml:space="preserve">The request must be submitted at least 30 days before effectiveness, with financial statements, intended use, transaction documents, and other required information.</w:t>
      </w:r>
    </w:p>
    <w:p>
      <w:pPr>
        <w:ind w:left="720" w:hanging="360"/>
        <w:numPr>
          <w:ilvl w:val="0"/>
          <w:numId w:val="1"/>
        </w:numPr>
      </w:pPr>
      <w:r>
        <w:t xml:space="preserve">Landlord must respond within 20 business days after receiving a complete request, but failure to respond is a deemed denial.</w:t>
      </w:r>
    </w:p>
    <w:p>
      <w:pPr>
        <w:ind w:left="720" w:hanging="360"/>
        <w:numPr>
          <w:ilvl w:val="0"/>
          <w:numId w:val="1"/>
        </w:numPr>
      </w:pPr>
      <w:r>
        <w:t xml:space="preserve">Express written consent must be obtained before closing.</w:t>
      </w:r>
    </w:p>
    <w:p>
      <w:pPr>
        <w:ind w:left="720" w:hanging="360"/>
        <w:numPr>
          <w:ilvl w:val="0"/>
          <w:numId w:val="1"/>
        </w:numPr>
      </w:pPr>
      <w:r>
        <w:t xml:space="preserve">No Affiliate or internal-reorganization exception exists.</w:t>
      </w:r>
    </w:p>
    <w:p>
      <w:r>
        <w:rPr/>
        <w:t xml:space="preserve"/>
      </w:r>
    </w:p>
    <w:p>
      <w:r>
        <w:rPr>
          <w:b/>
        </w:rPr>
        <w:t xml:space="preserve">Consequences and adverse effects.</w:t>
      </w:r>
    </w:p>
    <w:p>
      <w:r>
        <w:rPr/>
        <w:t xml:space="preserve"/>
      </w:r>
    </w:p>
    <w:p>
      <w:pPr>
        <w:ind w:left="720" w:hanging="360"/>
        <w:numPr>
          <w:ilvl w:val="0"/>
          <w:numId w:val="1"/>
        </w:numPr>
      </w:pPr>
      <w:r>
        <w:t xml:space="preserve">Unauthorized transaction is void and an Event of Default.</w:t>
      </w:r>
    </w:p>
    <w:p>
      <w:pPr>
        <w:ind w:left="720" w:hanging="360"/>
        <w:numPr>
          <w:ilvl w:val="0"/>
          <w:numId w:val="1"/>
        </w:numPr>
      </w:pPr>
      <w:r>
        <w:t xml:space="preserve">Landlord may terminate the Lease, repossess the premises, and accelerate future Rent and other sums.</w:t>
      </w:r>
    </w:p>
    <w:p>
      <w:pPr>
        <w:ind w:left="720" w:hanging="360"/>
        <w:numPr>
          <w:ilvl w:val="0"/>
          <w:numId w:val="1"/>
        </w:numPr>
      </w:pPr>
      <w:r>
        <w:t xml:space="preserve">Section 22.4 permits termination after at least 120 days’ notice and an early termination fee equal to 18 months of initial monthly Base Rent, stated as $3.24 million.</w:t>
      </w:r>
    </w:p>
    <w:p>
      <w:pPr>
        <w:ind w:left="720" w:hanging="360"/>
        <w:numPr>
          <w:ilvl w:val="0"/>
          <w:numId w:val="1"/>
        </w:numPr>
      </w:pPr>
      <w:r>
        <w:t xml:space="preserve">Landlord may also recapture the premises with at least 60 days’ notice after learning of the unauthorized transaction.</w:t>
      </w:r>
    </w:p>
    <w:p>
      <w:pPr>
        <w:ind w:left="720" w:hanging="360"/>
        <w:numPr>
          <w:ilvl w:val="0"/>
          <w:numId w:val="1"/>
        </w:numPr>
      </w:pPr>
      <w:r>
        <w:t xml:space="preserve">Remedies are cumulative and may overlap with Section 12.2 remedies.</w:t>
      </w:r>
    </w:p>
    <w:p>
      <w:pPr>
        <w:ind w:left="720" w:hanging="360"/>
        <w:numPr>
          <w:ilvl w:val="0"/>
          <w:numId w:val="1"/>
        </w:numPr>
      </w:pPr>
      <w:r>
        <w:t xml:space="preserve">Tenant remains primarily liable even after a permitted transfer unless Landlord expressly releases it.</w:t>
      </w:r>
    </w:p>
    <w:p>
      <w:pPr>
        <w:ind w:left="720" w:hanging="360"/>
        <w:numPr>
          <w:ilvl w:val="0"/>
          <w:numId w:val="1"/>
        </w:numPr>
      </w:pPr>
      <w:r>
        <w:t xml:space="preserve">A successor may lose the five-year renewal option, which must be exercised by June 30, 2027 and is subject to Landlord’s sole discretion for a successor.</w:t>
      </w:r>
    </w:p>
    <w:p>
      <w:r>
        <w:rPr/>
        <w:t xml:space="preserve"/>
      </w:r>
    </w:p>
    <w:p>
      <w:r>
        <w:rPr>
          <w:b/>
        </w:rPr>
        <w:t xml:space="preserve">Risk rating: High.</w:t>
      </w:r>
    </w:p>
    <w:p>
      <w:r>
        <w:rPr/>
        <w:t xml:space="preserve">The lease creates a consent condition to closing, has no Affiliate carve-out, and exposes the transaction to voidness, default, termination, accelerated Rent, recapture, and a $3.24 million fee.</w:t>
      </w:r>
    </w:p>
    <w:p>
      <w:r>
        <w:rPr/>
        <w:t xml:space="preserve"/>
      </w:r>
    </w:p>
    <w:p>
      <w:r>
        <w:rPr>
          <w:b/>
        </w:rPr>
        <w:t xml:space="preserve">Practical diligence/action items.</w:t>
      </w:r>
    </w:p>
    <w:p>
      <w:r>
        <w:rPr/>
        <w:t xml:space="preserve"/>
      </w:r>
    </w:p>
    <w:p>
      <w:pPr>
        <w:ind w:left="720" w:hanging="360"/>
        <w:numPr>
          <w:ilvl w:val="0"/>
          <w:numId w:val="1"/>
        </w:numPr>
      </w:pPr>
      <w:r>
        <w:t xml:space="preserve">Obtain Landlord’s express written consent before signing or closing, as appropriate.</w:t>
      </w:r>
    </w:p>
    <w:p>
      <w:pPr>
        <w:ind w:left="720" w:hanging="360"/>
        <w:numPr>
          <w:ilvl w:val="0"/>
          <w:numId w:val="1"/>
        </w:numPr>
      </w:pPr>
      <w:r>
        <w:t xml:space="preserve">Submit a complete consent package at least 30 days before the proposed effective date.</w:t>
      </w:r>
    </w:p>
    <w:p>
      <w:pPr>
        <w:ind w:left="720" w:hanging="360"/>
        <w:numPr>
          <w:ilvl w:val="0"/>
          <w:numId w:val="1"/>
        </w:numPr>
      </w:pPr>
      <w:r>
        <w:t xml:space="preserve">Confirm the proposed acquirer’s tangible net worth satisfies Section 22.3.</w:t>
      </w:r>
    </w:p>
    <w:p>
      <w:pPr>
        <w:ind w:left="720" w:hanging="360"/>
        <w:numPr>
          <w:ilvl w:val="0"/>
          <w:numId w:val="1"/>
        </w:numPr>
      </w:pPr>
      <w:r>
        <w:t xml:space="preserve">Negotiate a waiver of the early termination fee, recapture, and continuing liability, and preserve the renewal option.</w:t>
      </w:r>
    </w:p>
    <w:p>
      <w:pPr>
        <w:ind w:left="720" w:hanging="360"/>
        <w:numPr>
          <w:ilvl w:val="0"/>
          <w:numId w:val="1"/>
        </w:numPr>
      </w:pPr>
      <w:r>
        <w:t xml:space="preserve">Confirm whether the transaction structure creates any direct assignment or upstream Deemed Assignment.</w:t>
      </w:r>
    </w:p>
    <w:p>
      <w:pPr>
        <w:ind w:left="720" w:hanging="360"/>
        <w:numPr>
          <w:ilvl w:val="0"/>
          <w:numId w:val="1"/>
        </w:numPr>
      </w:pPr>
      <w:r>
        <w:t xml:space="preserve">Address security-deposit replenishment and potential rent acceleration.</w:t>
      </w:r>
    </w:p>
    <w:p>
      <w:pPr>
        <w:ind w:left="720" w:hanging="360"/>
        <w:numPr>
          <w:ilvl w:val="0"/>
          <w:numId w:val="1"/>
        </w:numPr>
      </w:pPr>
      <w:r>
        <w:t xml:space="preserve">Include lease-consent delivery as a closing condition.</w:t>
      </w:r>
    </w:p>
    <w:p>
      <w:r>
        <w:rPr/>
        <w:t xml:space="preserve"/>
      </w:r>
    </w:p>
    <w:p>
      <w:r>
        <w:rPr/>
        <w:t xml:space="preserve">---</w:t>
      </w:r>
    </w:p>
    <w:p>
      <w:r>
        <w:rPr/>
        <w:t xml:space="preserve"/>
      </w:r>
    </w:p>
    <w:p>
      <w:pPr>
        <w:pStyle w:val="Heading2"/>
      </w:pPr>
      <w:r>
        <w:rPr/>
        <w:t xml:space="preserve">6. Northland Refining MSA</w:t>
      </w:r>
    </w:p>
    <w:p>
      <w:r>
        <w:rPr/>
        <w:t xml:space="preserve"/>
      </w:r>
    </w:p>
    <w:p>
      <w:r>
        <w:rPr>
          <w:b/>
        </w:rPr>
        <w:t xml:space="preserve">Document/parties and subject matter.</w:t>
      </w:r>
    </w:p>
    <w:p>
      <w:r>
        <w:rPr/>
        <w:t xml:space="preserve">Master supply/manufacturing agreement between Northland and Apex concerning Products, Purchase Orders, pricing, confidentiality, and related supply obligations.</w:t>
      </w:r>
    </w:p>
    <w:p>
      <w:r>
        <w:rPr/>
        <w:t xml:space="preserve"/>
      </w:r>
    </w:p>
    <w:p>
      <w:r>
        <w:rPr>
          <w:b/>
        </w:rPr>
        <w:t xml:space="preserve">Express Change-of-Control provision.</w:t>
      </w:r>
    </w:p>
    <w:p>
      <w:r>
        <w:rPr>
          <w:b/>
        </w:rPr>
        <w:t xml:space="preserve">No. The review identifies no express “Change of Control” or “change in control” clause.</w:t>
      </w:r>
    </w:p>
    <w:p>
      <w:r>
        <w:rPr/>
        <w:t xml:space="preserve"/>
      </w:r>
    </w:p>
    <w:p>
      <w:r>
        <w:rPr>
          <w:b/>
        </w:rPr>
        <w:t xml:space="preserve">Key references and quotations.</w:t>
      </w:r>
    </w:p>
    <w:p>
      <w:r>
        <w:rPr/>
        <w:t xml:space="preserve"/>
      </w:r>
    </w:p>
    <w:p>
      <w:pPr>
        <w:ind w:left="720" w:hanging="360"/>
        <w:numPr>
          <w:ilvl w:val="0"/>
          <w:numId w:val="1"/>
        </w:numPr>
      </w:pPr>
      <w:r>
        <w:t xml:space="preserve">**Section 14.2 — Assignment:**</w:t>
      </w:r>
    </w:p>
    <w:p>
      <w:pPr>
        <w:pStyle w:val="Quote"/>
      </w:pPr>
      <w:r>
        <w:rPr>
          <w:i/>
        </w:rPr>
        <w:t xml:space="preserve">“Neither Party shall assign, transfer, or delegate this Agreement…whether by operation of law or otherwise, without the prior written consent of the other Party.”</w:t>
      </w:r>
    </w:p>
    <w:p>
      <w:pPr>
        <w:ind w:left="720" w:hanging="360"/>
        <w:numPr>
          <w:ilvl w:val="0"/>
          <w:numId w:val="1"/>
        </w:numPr>
      </w:pPr>
      <w:r>
        <w:t xml:space="preserve">A prohibited assignment is</w:t>
      </w:r>
    </w:p>
    <w:p>
      <w:pPr>
        <w:pStyle w:val="Quote"/>
      </w:pPr>
      <w:r>
        <w:rPr>
          <w:i/>
        </w:rPr>
        <w:t xml:space="preserve">“null and void and of no force or effect.”</w:t>
      </w:r>
    </w:p>
    <w:p>
      <w:pPr>
        <w:ind w:left="720" w:hanging="360"/>
        <w:numPr>
          <w:ilvl w:val="0"/>
          <w:numId w:val="1"/>
        </w:numPr>
      </w:pPr>
      <w:r>
        <w:t xml:space="preserve">Affiliate exception: either party may assign without consent to an Affiliate, provided notice is given within 30 days and the assigning party remains jointly and severally liable.</w:t>
      </w:r>
    </w:p>
    <w:p>
      <w:pPr>
        <w:ind w:left="720" w:hanging="360"/>
        <w:numPr>
          <w:ilvl w:val="0"/>
          <w:numId w:val="1"/>
        </w:numPr>
      </w:pPr>
      <w:r>
        <w:t xml:space="preserve">**Section 14.3:** the agreement binds successors and permitted assigns, subject to Article 14.</w:t>
      </w:r>
    </w:p>
    <w:p>
      <w:pPr>
        <w:ind w:left="720" w:hanging="360"/>
        <w:numPr>
          <w:ilvl w:val="0"/>
          <w:numId w:val="1"/>
        </w:numPr>
      </w:pPr>
      <w:r>
        <w:t xml:space="preserve">**Section 9.3:** permits termination for insolvency, bankruptcy, receivership, or similar events.</w:t>
      </w:r>
    </w:p>
    <w:p>
      <w:pPr>
        <w:ind w:left="720" w:hanging="360"/>
        <w:numPr>
          <w:ilvl w:val="0"/>
          <w:numId w:val="1"/>
        </w:numPr>
      </w:pPr>
      <w:r>
        <w:t xml:space="preserve">**Section 13.4:** either party may terminate for convenience on 12 months’ notice.</w:t>
      </w:r>
    </w:p>
    <w:p>
      <w:pPr>
        <w:ind w:left="720" w:hanging="360"/>
        <w:numPr>
          <w:ilvl w:val="0"/>
          <w:numId w:val="1"/>
        </w:numPr>
      </w:pPr>
      <w:r>
        <w:t xml:space="preserve">**Section 9.3:** Affiliates may receive Confidential Information subject to need-to-know and equivalent confidentiality obligations.</w:t>
      </w:r>
    </w:p>
    <w:p>
      <w:r>
        <w:rPr/>
        <w:t xml:space="preserve"/>
      </w:r>
    </w:p>
    <w:p>
      <w:r>
        <w:rPr>
          <w:b/>
        </w:rPr>
        <w:t xml:space="preserve">Trigger, consent/notice, and timing.</w:t>
      </w:r>
    </w:p>
    <w:p>
      <w:r>
        <w:rPr/>
        <w:t xml:space="preserve"/>
      </w:r>
    </w:p>
    <w:p>
      <w:pPr>
        <w:ind w:left="720" w:hanging="360"/>
        <w:numPr>
          <w:ilvl w:val="0"/>
          <w:numId w:val="1"/>
        </w:numPr>
      </w:pPr>
      <w:r>
        <w:t xml:space="preserve">No transaction-specific trigger or notice requirement for an equity sale or change of control.</w:t>
      </w:r>
    </w:p>
    <w:p>
      <w:pPr>
        <w:ind w:left="720" w:hanging="360"/>
        <w:numPr>
          <w:ilvl w:val="0"/>
          <w:numId w:val="1"/>
        </w:numPr>
      </w:pPr>
      <w:r>
        <w:t xml:space="preserve">A merger, sale of substantially all assets, or reorganization may nevertheless be treated as an assignment or transfer “by operation of law,” depending on structure and applicable law.</w:t>
      </w:r>
    </w:p>
    <w:p>
      <w:pPr>
        <w:ind w:left="720" w:hanging="360"/>
        <w:numPr>
          <w:ilvl w:val="0"/>
          <w:numId w:val="1"/>
        </w:numPr>
      </w:pPr>
      <w:r>
        <w:t xml:space="preserve">Non-Affiliate assignment requires prior written consent, which may be withheld in the other party’s sole discretion.</w:t>
      </w:r>
    </w:p>
    <w:p>
      <w:pPr>
        <w:ind w:left="720" w:hanging="360"/>
        <w:numPr>
          <w:ilvl w:val="0"/>
          <w:numId w:val="1"/>
        </w:numPr>
      </w:pPr>
      <w:r>
        <w:t xml:space="preserve">Affiliate assignment is permitted without consent but requires notice within 30 days and continuing joint and several liability.</w:t>
      </w:r>
    </w:p>
    <w:p>
      <w:pPr>
        <w:ind w:left="720" w:hanging="360"/>
        <w:numPr>
          <w:ilvl w:val="0"/>
          <w:numId w:val="1"/>
        </w:numPr>
      </w:pPr>
      <w:r>
        <w:t xml:space="preserve">A material breach may be subject to a 60-day cure period before termination for cause.</w:t>
      </w:r>
    </w:p>
    <w:p>
      <w:r>
        <w:rPr/>
        <w:t xml:space="preserve"/>
      </w:r>
    </w:p>
    <w:p>
      <w:r>
        <w:rPr>
          <w:b/>
        </w:rPr>
        <w:t xml:space="preserve">Consequences and adverse effects.</w:t>
      </w:r>
    </w:p>
    <w:p>
      <w:r>
        <w:rPr/>
        <w:t xml:space="preserve"/>
      </w:r>
    </w:p>
    <w:p>
      <w:pPr>
        <w:ind w:left="720" w:hanging="360"/>
        <w:numPr>
          <w:ilvl w:val="0"/>
          <w:numId w:val="1"/>
        </w:numPr>
      </w:pPr>
      <w:r>
        <w:t xml:space="preserve">Nonconsensual assignment outside the Affiliate exception is void and could support termination for cause if material and uncured.</w:t>
      </w:r>
    </w:p>
    <w:p>
      <w:pPr>
        <w:ind w:left="720" w:hanging="360"/>
        <w:numPr>
          <w:ilvl w:val="0"/>
          <w:numId w:val="1"/>
        </w:numPr>
      </w:pPr>
      <w:r>
        <w:t xml:space="preserve">New Affiliates may receive Confidential Information without transaction-specific consent, but the assigning party remains responsible for their breaches.</w:t>
      </w:r>
    </w:p>
    <w:p>
      <w:pPr>
        <w:ind w:left="720" w:hanging="360"/>
        <w:numPr>
          <w:ilvl w:val="0"/>
          <w:numId w:val="1"/>
        </w:numPr>
      </w:pPr>
      <w:r>
        <w:t xml:space="preserve">Insolvency or a distressed restructuring may support termination.</w:t>
      </w:r>
    </w:p>
    <w:p>
      <w:pPr>
        <w:ind w:left="720" w:hanging="360"/>
        <w:numPr>
          <w:ilvl w:val="0"/>
          <w:numId w:val="1"/>
        </w:numPr>
      </w:pPr>
      <w:r>
        <w:t xml:space="preserve">Either party may terminate for convenience on 12 months’ notice.</w:t>
      </w:r>
    </w:p>
    <w:p>
      <w:pPr>
        <w:ind w:left="720" w:hanging="360"/>
        <w:numPr>
          <w:ilvl w:val="0"/>
          <w:numId w:val="1"/>
        </w:numPr>
      </w:pPr>
      <w:r>
        <w:t xml:space="preserve">No automatic termination, acceleration, repricing, or other consequence is identified solely because of a change of control.</w:t>
      </w:r>
    </w:p>
    <w:p>
      <w:pPr>
        <w:ind w:left="720" w:hanging="360"/>
        <w:numPr>
          <w:ilvl w:val="0"/>
          <w:numId w:val="1"/>
        </w:numPr>
      </w:pPr>
      <w:r>
        <w:t xml:space="preserve">The agreement is non-exclusive, so a buyer cannot assume supply exclusivity.</w:t>
      </w:r>
    </w:p>
    <w:p>
      <w:r>
        <w:rPr/>
        <w:t xml:space="preserve"/>
      </w:r>
    </w:p>
    <w:p>
      <w:r>
        <w:rPr>
          <w:b/>
        </w:rPr>
        <w:t xml:space="preserve">Risk rating: Medium.</w:t>
      </w:r>
    </w:p>
    <w:p>
      <w:r>
        <w:rPr/>
        <w:t xml:space="preserve">There is no express change-of-control clause, but Section 14.2 creates meaningful indirect assignment risk. The result depends heavily on whether the transaction is structured as a stock deal, merger, asset sale, or Affiliate transfer and on applicable law.</w:t>
      </w:r>
    </w:p>
    <w:p>
      <w:r>
        <w:rPr/>
        <w:t xml:space="preserve"/>
      </w:r>
    </w:p>
    <w:p>
      <w:r>
        <w:rPr>
          <w:b/>
        </w:rPr>
        <w:t xml:space="preserve">Practical diligence/action items.</w:t>
      </w:r>
    </w:p>
    <w:p>
      <w:r>
        <w:rPr/>
        <w:t xml:space="preserve"/>
      </w:r>
    </w:p>
    <w:p>
      <w:pPr>
        <w:ind w:left="720" w:hanging="360"/>
        <w:numPr>
          <w:ilvl w:val="0"/>
          <w:numId w:val="1"/>
        </w:numPr>
      </w:pPr>
      <w:r>
        <w:t xml:space="preserve">Obtain transaction counsel’s analysis of whether the proposed structure constitutes an assignment by operation of law.</w:t>
      </w:r>
    </w:p>
    <w:p>
      <w:pPr>
        <w:ind w:left="720" w:hanging="360"/>
        <w:numPr>
          <w:ilvl w:val="0"/>
          <w:numId w:val="1"/>
        </w:numPr>
      </w:pPr>
      <w:r>
        <w:t xml:space="preserve">Seek consent or written confirmation that no consent is required, even for a stock acquisition.</w:t>
      </w:r>
    </w:p>
    <w:p>
      <w:pPr>
        <w:ind w:left="720" w:hanging="360"/>
        <w:numPr>
          <w:ilvl w:val="0"/>
          <w:numId w:val="1"/>
        </w:numPr>
      </w:pPr>
      <w:r>
        <w:t xml:space="preserve">If using an Affiliate or internal-reorganization structure, satisfy the 30-day notice and continuing liability requirements.</w:t>
      </w:r>
    </w:p>
    <w:p>
      <w:pPr>
        <w:ind w:left="720" w:hanging="360"/>
        <w:numPr>
          <w:ilvl w:val="0"/>
          <w:numId w:val="1"/>
        </w:numPr>
      </w:pPr>
      <w:r>
        <w:t xml:space="preserve">Review confidentiality protocols for sharing Northland information with bidders, buyers, and new Affiliates.</w:t>
      </w:r>
    </w:p>
    <w:p>
      <w:pPr>
        <w:ind w:left="720" w:hanging="360"/>
        <w:numPr>
          <w:ilvl w:val="0"/>
          <w:numId w:val="1"/>
        </w:numPr>
      </w:pPr>
      <w:r>
        <w:t xml:space="preserve">Evaluate Northland’s convenience-termination rights and commercial willingness to continue.</w:t>
      </w:r>
    </w:p>
    <w:p>
      <w:pPr>
        <w:ind w:left="720" w:hanging="360"/>
        <w:numPr>
          <w:ilvl w:val="0"/>
          <w:numId w:val="1"/>
        </w:numPr>
      </w:pPr>
      <w:r>
        <w:t xml:space="preserve">Check Purchase Orders, pricing, and supply commitments for transaction-related operational dependencies.</w:t>
      </w:r>
    </w:p>
    <w:p>
      <w:r>
        <w:rPr/>
        <w:t xml:space="preserve"/>
      </w:r>
    </w:p>
    <w:p>
      <w:r>
        <w:rPr/>
        <w:t xml:space="preserve">---</w:t>
      </w:r>
    </w:p>
    <w:p>
      <w:r>
        <w:rPr/>
        <w:t xml:space="preserve"/>
      </w:r>
    </w:p>
    <w:p>
      <w:pPr>
        <w:pStyle w:val="Heading2"/>
      </w:pPr>
      <w:r>
        <w:rPr/>
        <w:t xml:space="preserve">7. PacWest Supply Agreement</w:t>
      </w:r>
    </w:p>
    <w:p>
      <w:r>
        <w:rPr/>
        <w:t xml:space="preserve"/>
      </w:r>
    </w:p>
    <w:p>
      <w:r>
        <w:rPr>
          <w:b/>
        </w:rPr>
        <w:t xml:space="preserve">Document/parties and subject matter.</w:t>
      </w:r>
    </w:p>
    <w:p>
      <w:r>
        <w:rPr/>
        <w:t xml:space="preserve">Supply agreement between PacWest as customer and Apex as Supplier for Products used in PacWest’s water-treatment and distribution operations.</w:t>
      </w:r>
    </w:p>
    <w:p>
      <w:r>
        <w:rPr/>
        <w:t xml:space="preserve"/>
      </w:r>
    </w:p>
    <w:p>
      <w:r>
        <w:rPr>
          <w:b/>
        </w:rPr>
        <w:t xml:space="preserve">Express Change-of-Control provision.</w:t>
      </w:r>
    </w:p>
    <w:p>
      <w:r>
        <w:rPr>
          <w:b/>
        </w:rPr>
        <w:t xml:space="preserve">Yes. Article 1 and Section 10.5 address Supplier Change of Control.</w:t>
      </w:r>
    </w:p>
    <w:p>
      <w:r>
        <w:rPr/>
        <w:t xml:space="preserve"/>
      </w:r>
    </w:p>
    <w:p>
      <w:r>
        <w:rPr>
          <w:b/>
        </w:rPr>
        <w:t xml:space="preserve">Key references and quotations.</w:t>
      </w:r>
    </w:p>
    <w:p>
      <w:r>
        <w:rPr/>
        <w:t xml:space="preserve"/>
      </w:r>
    </w:p>
    <w:p>
      <w:pPr>
        <w:ind w:left="720" w:hanging="360"/>
        <w:numPr>
          <w:ilvl w:val="0"/>
          <w:numId w:val="1"/>
        </w:numPr>
      </w:pPr>
      <w:r>
        <w:t xml:space="preserve">**Section 1.1(c) — Change of Control:** includes mergers, reorganizations, asset sales, greater-than-50% voting acquisitions, and</w:t>
      </w:r>
    </w:p>
    <w:p>
      <w:pPr>
        <w:pStyle w:val="Quote"/>
      </w:pPr>
      <w:r>
        <w:rPr>
          <w:i/>
        </w:rPr>
        <w:t xml:space="preserve">“any direct or indirect change in the ultimate ownership or control of Supplier.”</w:t>
      </w:r>
    </w:p>
    <w:p>
      <w:pPr>
        <w:ind w:left="720" w:hanging="360"/>
        <w:numPr>
          <w:ilvl w:val="0"/>
          <w:numId w:val="1"/>
        </w:numPr>
      </w:pPr>
      <w:r>
        <w:t xml:space="preserve">**Section 10.5(a) — Notice:** notice within 10 business days after consummation, identifying the transaction, acquiring entity or controller, and anticipated performance impact.</w:t>
      </w:r>
    </w:p>
    <w:p>
      <w:pPr>
        <w:ind w:left="720" w:hanging="360"/>
        <w:numPr>
          <w:ilvl w:val="0"/>
          <w:numId w:val="1"/>
        </w:numPr>
      </w:pPr>
      <w:r>
        <w:t xml:space="preserve">**Section 10.5(b):** PacWest may, in its “sole discretion,” consent to continuation or terminate on 90 days’ written notice.</w:t>
      </w:r>
    </w:p>
    <w:p>
      <w:pPr>
        <w:ind w:left="720" w:hanging="360"/>
        <w:numPr>
          <w:ilvl w:val="0"/>
          <w:numId w:val="1"/>
        </w:numPr>
      </w:pPr>
      <w:r>
        <w:t xml:space="preserve">**Section 10.5(c):** consent must be obtained within 60 days after closing; silence does not constitute consent.</w:t>
      </w:r>
    </w:p>
    <w:p>
      <w:pPr>
        <w:ind w:left="720" w:hanging="360"/>
        <w:numPr>
          <w:ilvl w:val="0"/>
          <w:numId w:val="1"/>
        </w:numPr>
      </w:pPr>
      <w:r>
        <w:t xml:space="preserve">**Section 10.5(d):** supply obligations continue during the termination notice period.</w:t>
      </w:r>
    </w:p>
    <w:p>
      <w:pPr>
        <w:ind w:left="720" w:hanging="360"/>
        <w:numPr>
          <w:ilvl w:val="0"/>
          <w:numId w:val="1"/>
        </w:numPr>
      </w:pPr>
      <w:r>
        <w:t xml:space="preserve">**Section 12.2:** ordinary assignments require PacWest’s prior consent, but a Change of Control is governed by Section 10.5 and is not deemed an assignment if Section 10.5 is followed.</w:t>
      </w:r>
    </w:p>
    <w:p>
      <w:pPr>
        <w:ind w:left="720" w:hanging="360"/>
        <w:numPr>
          <w:ilvl w:val="0"/>
          <w:numId w:val="1"/>
        </w:numPr>
      </w:pPr>
      <w:r>
        <w:t xml:space="preserve">**Section 10.6:** accepted Purchase Orders survive termination.</w:t>
      </w:r>
    </w:p>
    <w:p>
      <w:r>
        <w:rPr/>
        <w:t xml:space="preserve"/>
      </w:r>
    </w:p>
    <w:p>
      <w:r>
        <w:rPr>
          <w:b/>
        </w:rPr>
        <w:t xml:space="preserve">Trigger, consent/notice, and timing.</w:t>
      </w:r>
    </w:p>
    <w:p>
      <w:r>
        <w:rPr/>
        <w:t xml:space="preserve"/>
      </w:r>
    </w:p>
    <w:p>
      <w:pPr>
        <w:ind w:left="720" w:hanging="360"/>
        <w:numPr>
          <w:ilvl w:val="0"/>
          <w:numId w:val="1"/>
        </w:numPr>
      </w:pPr>
      <w:r>
        <w:t xml:space="preserve">Broad direct or indirect change in Apex’s ultimate ownership or control, including mergers, reorganizations, asset sales, and greater-than-50% voting acquisitions.</w:t>
      </w:r>
    </w:p>
    <w:p>
      <w:pPr>
        <w:ind w:left="720" w:hanging="360"/>
        <w:numPr>
          <w:ilvl w:val="0"/>
          <w:numId w:val="1"/>
        </w:numPr>
      </w:pPr>
      <w:r>
        <w:t xml:space="preserve">Apex must notify PacWest within 10 business days after consummation.</w:t>
      </w:r>
    </w:p>
    <w:p>
      <w:pPr>
        <w:ind w:left="720" w:hanging="360"/>
        <w:numPr>
          <w:ilvl w:val="0"/>
          <w:numId w:val="1"/>
        </w:numPr>
      </w:pPr>
      <w:r>
        <w:t xml:space="preserve">PacWest has sole discretion to consent to continuation or terminate on 90 days’ notice.</w:t>
      </w:r>
    </w:p>
    <w:p>
      <w:pPr>
        <w:ind w:left="720" w:hanging="360"/>
        <w:numPr>
          <w:ilvl w:val="0"/>
          <w:numId w:val="1"/>
        </w:numPr>
      </w:pPr>
      <w:r>
        <w:t xml:space="preserve">Consent must be obtained within 60 days after closing; silence is not consent.</w:t>
      </w:r>
    </w:p>
    <w:p>
      <w:pPr>
        <w:ind w:left="720" w:hanging="360"/>
        <w:numPr>
          <w:ilvl w:val="0"/>
          <w:numId w:val="1"/>
        </w:numPr>
      </w:pPr>
      <w:r>
        <w:t xml:space="preserve">Apex or its successor must continue fulfilling outstanding Purchase Orders and maintain product quality, availability, and timeliness during any notice period.</w:t>
      </w:r>
    </w:p>
    <w:p>
      <w:r>
        <w:rPr/>
        <w:t xml:space="preserve"/>
      </w:r>
    </w:p>
    <w:p>
      <w:r>
        <w:rPr>
          <w:b/>
        </w:rPr>
        <w:t xml:space="preserve">Consequences and adverse effects.</w:t>
      </w:r>
    </w:p>
    <w:p>
      <w:r>
        <w:rPr/>
        <w:t xml:space="preserve"/>
      </w:r>
    </w:p>
    <w:p>
      <w:pPr>
        <w:ind w:left="720" w:hanging="360"/>
        <w:numPr>
          <w:ilvl w:val="0"/>
          <w:numId w:val="1"/>
        </w:numPr>
      </w:pPr>
      <w:r>
        <w:t xml:space="preserve">PacWest may terminate the supply agreement following the transaction.</w:t>
      </w:r>
    </w:p>
    <w:p>
      <w:pPr>
        <w:ind w:left="720" w:hanging="360"/>
        <w:numPr>
          <w:ilvl w:val="0"/>
          <w:numId w:val="1"/>
        </w:numPr>
      </w:pPr>
      <w:r>
        <w:t xml:space="preserve">Failure to obtain consent within 60 days leaves PacWest’s termination right available thereafter.</w:t>
      </w:r>
    </w:p>
    <w:p>
      <w:pPr>
        <w:ind w:left="720" w:hanging="360"/>
        <w:numPr>
          <w:ilvl w:val="0"/>
          <w:numId w:val="1"/>
        </w:numPr>
      </w:pPr>
      <w:r>
        <w:t xml:space="preserve">Supply performance continues during the 90-day termination period.</w:t>
      </w:r>
    </w:p>
    <w:p>
      <w:pPr>
        <w:ind w:left="720" w:hanging="360"/>
        <w:numPr>
          <w:ilvl w:val="0"/>
          <w:numId w:val="1"/>
        </w:numPr>
      </w:pPr>
      <w:r>
        <w:t xml:space="preserve">Accepted Purchase Orders survive termination, as do warranties, IP, confidentiality, indemnity, liability, and other provisions intended to survive.</w:t>
      </w:r>
    </w:p>
    <w:p>
      <w:pPr>
        <w:ind w:left="720" w:hanging="360"/>
        <w:numPr>
          <w:ilvl w:val="0"/>
          <w:numId w:val="1"/>
        </w:numPr>
      </w:pPr>
      <w:r>
        <w:t xml:space="preserve">PacWest also has an independent 120-day convenience termination right.</w:t>
      </w:r>
    </w:p>
    <w:p>
      <w:pPr>
        <w:ind w:left="720" w:hanging="360"/>
        <w:numPr>
          <w:ilvl w:val="0"/>
          <w:numId w:val="1"/>
        </w:numPr>
      </w:pPr>
      <w:r>
        <w:t xml:space="preserve">The agreement is non-exclusive and provides no comparable consent right over a PacWest transaction.</w:t>
      </w:r>
    </w:p>
    <w:p>
      <w:r>
        <w:rPr/>
        <w:t xml:space="preserve"/>
      </w:r>
    </w:p>
    <w:p>
      <w:r>
        <w:rPr>
          <w:b/>
        </w:rPr>
        <w:t xml:space="preserve">Risk rating: High.</w:t>
      </w:r>
    </w:p>
    <w:p>
      <w:r>
        <w:rPr/>
        <w:t xml:space="preserve">PacWest has a unilateral and discretionary post-closing consent/termination right, with no deemed consent and no requirement that PacWest act reasonably. The agreement also imposes continuing supply obligations during the termination period.</w:t>
      </w:r>
    </w:p>
    <w:p>
      <w:r>
        <w:rPr/>
        <w:t xml:space="preserve"/>
      </w:r>
    </w:p>
    <w:p>
      <w:r>
        <w:rPr>
          <w:b/>
        </w:rPr>
        <w:t xml:space="preserve">Practical diligence/action items.</w:t>
      </w:r>
    </w:p>
    <w:p>
      <w:r>
        <w:rPr/>
        <w:t xml:space="preserve"/>
      </w:r>
    </w:p>
    <w:p>
      <w:pPr>
        <w:ind w:left="720" w:hanging="360"/>
        <w:numPr>
          <w:ilvl w:val="0"/>
          <w:numId w:val="1"/>
        </w:numPr>
      </w:pPr>
      <w:r>
        <w:t xml:space="preserve">Seek PacWest’s written consent before closing or obtain a binding continuation agreement.</w:t>
      </w:r>
    </w:p>
    <w:p>
      <w:pPr>
        <w:ind w:left="720" w:hanging="360"/>
        <w:numPr>
          <w:ilvl w:val="0"/>
          <w:numId w:val="1"/>
        </w:numPr>
      </w:pPr>
      <w:r>
        <w:t xml:space="preserve">Establish the 10-business-day notice and 60-day consent tracking process.</w:t>
      </w:r>
    </w:p>
    <w:p>
      <w:pPr>
        <w:ind w:left="720" w:hanging="360"/>
        <w:numPr>
          <w:ilvl w:val="0"/>
          <w:numId w:val="1"/>
        </w:numPr>
      </w:pPr>
      <w:r>
        <w:t xml:space="preserve">Confirm successor production capacity, quality systems, inventory, and supply continuity.</w:t>
      </w:r>
    </w:p>
    <w:p>
      <w:pPr>
        <w:ind w:left="720" w:hanging="360"/>
        <w:numPr>
          <w:ilvl w:val="0"/>
          <w:numId w:val="1"/>
        </w:numPr>
      </w:pPr>
      <w:r>
        <w:t xml:space="preserve">Quantify outstanding Purchase Orders, work-in-progress, minimum purchase commitments, and termination economics.</w:t>
      </w:r>
    </w:p>
    <w:p>
      <w:pPr>
        <w:ind w:left="720" w:hanging="360"/>
        <w:numPr>
          <w:ilvl w:val="0"/>
          <w:numId w:val="1"/>
        </w:numPr>
      </w:pPr>
      <w:r>
        <w:t xml:space="preserve">Review PacWest’s 120-day convenience termination right and non-exclusive sourcing rights.</w:t>
      </w:r>
    </w:p>
    <w:p>
      <w:pPr>
        <w:ind w:left="720" w:hanging="360"/>
        <w:numPr>
          <w:ilvl w:val="0"/>
          <w:numId w:val="1"/>
        </w:numPr>
      </w:pPr>
      <w:r>
        <w:t xml:space="preserve">Include PacWest consent or a satisfactory continuation arrangement as a closing condition.</w:t>
      </w:r>
    </w:p>
    <w:p>
      <w:r>
        <w:rPr/>
        <w:t xml:space="preserve"/>
      </w:r>
    </w:p>
    <w:p>
      <w:r>
        <w:rPr/>
        <w:t xml:space="preserve">---</w:t>
      </w:r>
    </w:p>
    <w:p>
      <w:r>
        <w:rPr/>
        <w:t xml:space="preserve"/>
      </w:r>
    </w:p>
    <w:p>
      <w:pPr>
        <w:pStyle w:val="Heading2"/>
      </w:pPr>
      <w:r>
        <w:rPr/>
        <w:t xml:space="preserve">8. Product Liability Policy</w:t>
      </w:r>
    </w:p>
    <w:p>
      <w:r>
        <w:rPr/>
        <w:t xml:space="preserve"/>
      </w:r>
    </w:p>
    <w:p>
      <w:r>
        <w:rPr>
          <w:b/>
        </w:rPr>
        <w:t xml:space="preserve">Document/parties and subject matter.</w:t>
      </w:r>
    </w:p>
    <w:p>
      <w:r>
        <w:rPr/>
        <w:t xml:space="preserve">Product-liability insurance policy issued to Apex Industrial Technologies, Inc. as Named Insured, with specified insured subsidiaries including Apex–Kenji Precision JV, LLC.</w:t>
      </w:r>
    </w:p>
    <w:p>
      <w:r>
        <w:rPr/>
        <w:t xml:space="preserve"/>
      </w:r>
    </w:p>
    <w:p>
      <w:r>
        <w:rPr>
          <w:b/>
        </w:rPr>
        <w:t xml:space="preserve">Express Change-of-Control provision.</w:t>
      </w:r>
    </w:p>
    <w:p>
      <w:r>
        <w:rPr>
          <w:b/>
        </w:rPr>
        <w:t xml:space="preserve">Yes. Section IV.F provides automatic run-off conversion and related notice, successor-coverage, and tail provisions.</w:t>
      </w:r>
    </w:p>
    <w:p>
      <w:r>
        <w:rPr/>
        <w:t xml:space="preserve"/>
      </w:r>
    </w:p>
    <w:p>
      <w:r>
        <w:rPr>
          <w:b/>
        </w:rPr>
        <w:t xml:space="preserve">Key references and quotations.</w:t>
      </w:r>
    </w:p>
    <w:p>
      <w:r>
        <w:rPr/>
        <w:t xml:space="preserve"/>
      </w:r>
    </w:p>
    <w:p>
      <w:pPr>
        <w:ind w:left="720" w:hanging="360"/>
        <w:numPr>
          <w:ilvl w:val="0"/>
          <w:numId w:val="1"/>
        </w:numPr>
      </w:pPr>
      <w:r>
        <w:t xml:space="preserve">**Section II — Definition:** includes 50% or greater voting acquisition, specified mergers, asset transfers, and changes in the ultimate controlling person or entity.</w:t>
      </w:r>
    </w:p>
    <w:p>
      <w:pPr>
        <w:ind w:left="720" w:hanging="360"/>
        <w:numPr>
          <w:ilvl w:val="0"/>
          <w:numId w:val="1"/>
        </w:numPr>
      </w:pPr>
      <w:r>
        <w:t xml:space="preserve">**Section IV.F.1 — Automatic conversion:**</w:t>
      </w:r>
    </w:p>
    <w:p>
      <w:pPr>
        <w:pStyle w:val="Quote"/>
      </w:pPr>
      <w:r>
        <w:rPr>
          <w:i/>
        </w:rPr>
        <w:t xml:space="preserve">“this Policy shall automatically…convert to a Run-Off Basis effective as of the date of such Change of Control.”</w:t>
      </w:r>
    </w:p>
    <w:p>
      <w:pPr>
        <w:ind w:left="720" w:hanging="360"/>
        <w:numPr>
          <w:ilvl w:val="0"/>
          <w:numId w:val="1"/>
        </w:numPr>
      </w:pPr>
      <w:r>
        <w:t xml:space="preserve">Coverage thereafter is limited exclusively to claims arising from products handled before the Run-Off Conversion Date, and:</w:t>
      </w:r>
    </w:p>
    <w:p>
      <w:pPr>
        <w:pStyle w:val="Quote"/>
      </w:pPr>
      <w:r>
        <w:rPr>
          <w:i/>
        </w:rPr>
        <w:t xml:space="preserve">“No coverage shall be provided” for products handled on or after that date.</w:t>
      </w:r>
    </w:p>
    <w:p>
      <w:pPr>
        <w:ind w:left="720" w:hanging="360"/>
        <w:numPr>
          <w:ilvl w:val="0"/>
          <w:numId w:val="1"/>
        </w:numPr>
      </w:pPr>
      <w:r>
        <w:t xml:space="preserve">**Section IV.F.2 — Notice:** notice within 15 days after the effective date; prejudice-based coverage defenses may apply.</w:t>
      </w:r>
    </w:p>
    <w:p>
      <w:pPr>
        <w:ind w:left="720" w:hanging="360"/>
        <w:numPr>
          <w:ilvl w:val="0"/>
          <w:numId w:val="1"/>
        </w:numPr>
      </w:pPr>
      <w:r>
        <w:t xml:space="preserve">**Section IV.F.3:** run-off lasts through the policy period; extensions of up to 36 months are discretionary and separately priced.</w:t>
      </w:r>
    </w:p>
    <w:p>
      <w:pPr>
        <w:ind w:left="720" w:hanging="360"/>
        <w:numPr>
          <w:ilvl w:val="0"/>
          <w:numId w:val="1"/>
        </w:numPr>
      </w:pPr>
      <w:r>
        <w:t xml:space="preserve">**Section IV.F.5:** no coverage for a successor, parent, or acquiring Affiliate unless a new policy is issued.</w:t>
      </w:r>
    </w:p>
    <w:p>
      <w:pPr>
        <w:ind w:left="720" w:hanging="360"/>
        <w:numPr>
          <w:ilvl w:val="0"/>
          <w:numId w:val="1"/>
        </w:numPr>
      </w:pPr>
      <w:r>
        <w:t xml:space="preserve">**Section IV.E:** policy rights cannot be assigned without insurer consent, which may be withheld in sole discretion.</w:t>
      </w:r>
    </w:p>
    <w:p>
      <w:pPr>
        <w:ind w:left="720" w:hanging="360"/>
        <w:numPr>
          <w:ilvl w:val="0"/>
          <w:numId w:val="1"/>
        </w:numPr>
      </w:pPr>
      <w:r>
        <w:t xml:space="preserve">**Tail endorsement:** election within 30 days, with stated 12-, 24-, and 36-month premiums.</w:t>
      </w:r>
    </w:p>
    <w:p>
      <w:r>
        <w:rPr/>
        <w:t xml:space="preserve"/>
      </w:r>
    </w:p>
    <w:p>
      <w:r>
        <w:rPr>
          <w:b/>
        </w:rPr>
        <w:t xml:space="preserve">Trigger, consent/notice, and timing.</w:t>
      </w:r>
    </w:p>
    <w:p>
      <w:r>
        <w:rPr/>
        <w:t xml:space="preserve"/>
      </w:r>
    </w:p>
    <w:p>
      <w:pPr>
        <w:ind w:left="720" w:hanging="360"/>
        <w:numPr>
          <w:ilvl w:val="0"/>
          <w:numId w:val="1"/>
        </w:numPr>
      </w:pPr>
      <w:r>
        <w:t xml:space="preserve">Any defined Change of Control automatically converts the policy to run-off on the effective date.</w:t>
      </w:r>
    </w:p>
    <w:p>
      <w:pPr>
        <w:ind w:left="720" w:hanging="360"/>
        <w:numPr>
          <w:ilvl w:val="0"/>
          <w:numId w:val="1"/>
        </w:numPr>
      </w:pPr>
      <w:r>
        <w:t xml:space="preserve">No prior insurer approval is required for the Change of Control itself.</w:t>
      </w:r>
    </w:p>
    <w:p>
      <w:pPr>
        <w:ind w:left="720" w:hanging="360"/>
        <w:numPr>
          <w:ilvl w:val="0"/>
          <w:numId w:val="1"/>
        </w:numPr>
      </w:pPr>
      <w:r>
        <w:t xml:space="preserve">Apex must provide notice within 15 days after effectiveness.</w:t>
      </w:r>
    </w:p>
    <w:p>
      <w:pPr>
        <w:ind w:left="720" w:hanging="360"/>
        <w:numPr>
          <w:ilvl w:val="0"/>
          <w:numId w:val="1"/>
        </w:numPr>
      </w:pPr>
      <w:r>
        <w:t xml:space="preserve">Tail coverage must be elected within 30 days after the triggering event.</w:t>
      </w:r>
    </w:p>
    <w:p>
      <w:pPr>
        <w:ind w:left="720" w:hanging="360"/>
        <w:numPr>
          <w:ilvl w:val="0"/>
          <w:numId w:val="1"/>
        </w:numPr>
      </w:pPr>
      <w:r>
        <w:t xml:space="preserve">Any extension of run-off coverage must be requested at least 60 days before expiration of the then-current period and is subject to insurer discretion.</w:t>
      </w:r>
    </w:p>
    <w:p>
      <w:pPr>
        <w:ind w:left="720" w:hanging="360"/>
        <w:numPr>
          <w:ilvl w:val="0"/>
          <w:numId w:val="1"/>
        </w:numPr>
      </w:pPr>
      <w:r>
        <w:t xml:space="preserve">A successor must apply for and obtain a new policy for post-closing products.</w:t>
      </w:r>
    </w:p>
    <w:p>
      <w:r>
        <w:rPr/>
        <w:t xml:space="preserve"/>
      </w:r>
    </w:p>
    <w:p>
      <w:r>
        <w:rPr>
          <w:b/>
        </w:rPr>
        <w:t xml:space="preserve">Consequences and adverse effects.</w:t>
      </w:r>
    </w:p>
    <w:p>
      <w:r>
        <w:rPr/>
        <w:t xml:space="preserve"/>
      </w:r>
    </w:p>
    <w:p>
      <w:pPr>
        <w:ind w:left="720" w:hanging="360"/>
        <w:numPr>
          <w:ilvl w:val="0"/>
          <w:numId w:val="1"/>
        </w:numPr>
      </w:pPr>
      <w:r>
        <w:t xml:space="preserve">No coverage for products manufactured, sold, handled, distributed, or disposed of after closing.</w:t>
      </w:r>
    </w:p>
    <w:p>
      <w:pPr>
        <w:ind w:left="720" w:hanging="360"/>
        <w:numPr>
          <w:ilvl w:val="0"/>
          <w:numId w:val="1"/>
        </w:numPr>
      </w:pPr>
      <w:r>
        <w:t xml:space="preserve">No automatic coverage for the buyer, successor, parent, or acquiring Affiliate.</w:t>
      </w:r>
    </w:p>
    <w:p>
      <w:pPr>
        <w:ind w:left="720" w:hanging="360"/>
        <w:numPr>
          <w:ilvl w:val="0"/>
          <w:numId w:val="1"/>
        </w:numPr>
      </w:pPr>
      <w:r>
        <w:t xml:space="preserve">No return premium after conversion; all premium paid or due remains fully earned.</w:t>
      </w:r>
    </w:p>
    <w:p>
      <w:pPr>
        <w:ind w:left="720" w:hanging="360"/>
        <w:numPr>
          <w:ilvl w:val="0"/>
          <w:numId w:val="1"/>
        </w:numPr>
      </w:pPr>
      <w:r>
        <w:t xml:space="preserve">Run-off extension is discretionary and separately priced.</w:t>
      </w:r>
    </w:p>
    <w:p>
      <w:pPr>
        <w:ind w:left="720" w:hanging="360"/>
        <w:numPr>
          <w:ilvl w:val="0"/>
          <w:numId w:val="1"/>
        </w:numPr>
      </w:pPr>
      <w:r>
        <w:t xml:space="preserve">Tail coverage applies only to claims first made and reported during the elected tail period for pre-closing products, does not create new limits, and erodes existing aggregate limits.</w:t>
      </w:r>
    </w:p>
    <w:p>
      <w:pPr>
        <w:ind w:left="720" w:hanging="360"/>
        <w:numPr>
          <w:ilvl w:val="0"/>
          <w:numId w:val="1"/>
        </w:numPr>
      </w:pPr>
      <w:r>
        <w:t xml:space="preserve">Failure to provide timely notice may permit the insurer to void coverage for a claim prejudiced by the delay.</w:t>
      </w:r>
    </w:p>
    <w:p>
      <w:pPr>
        <w:ind w:left="720" w:hanging="360"/>
        <w:numPr>
          <w:ilvl w:val="0"/>
          <w:numId w:val="1"/>
        </w:numPr>
      </w:pPr>
      <w:r>
        <w:t xml:space="preserve">Policy coverage is limited to the Named Insured and listed subsidiaries; newly affiliated entities are not automatically covered.</w:t>
      </w:r>
    </w:p>
    <w:p>
      <w:pPr>
        <w:ind w:left="720" w:hanging="360"/>
        <w:numPr>
          <w:ilvl w:val="0"/>
          <w:numId w:val="1"/>
        </w:numPr>
      </w:pPr>
      <w:r>
        <w:t xml:space="preserve">Records and quality-control systems must be maintained during the run-off period.</w:t>
      </w:r>
    </w:p>
    <w:p>
      <w:r>
        <w:rPr/>
        <w:t xml:space="preserve"/>
      </w:r>
    </w:p>
    <w:p>
      <w:r>
        <w:rPr>
          <w:b/>
        </w:rPr>
        <w:t xml:space="preserve">Risk rating: High.</w:t>
      </w:r>
    </w:p>
    <w:p>
      <w:r>
        <w:rPr/>
        <w:t xml:space="preserve">The policy automatically removes coverage for post-closing operations while providing no automatic buyer or successor coverage. Replacement insurance, run-off, and tail arrangements must be addressed before closing.</w:t>
      </w:r>
    </w:p>
    <w:p>
      <w:r>
        <w:rPr/>
        <w:t xml:space="preserve"/>
      </w:r>
    </w:p>
    <w:p>
      <w:r>
        <w:rPr>
          <w:b/>
        </w:rPr>
        <w:t xml:space="preserve">Practical diligence/action items.</w:t>
      </w:r>
    </w:p>
    <w:p>
      <w:r>
        <w:rPr/>
        <w:t xml:space="preserve"/>
      </w:r>
    </w:p>
    <w:p>
      <w:pPr>
        <w:ind w:left="720" w:hanging="360"/>
        <w:numPr>
          <w:ilvl w:val="0"/>
          <w:numId w:val="1"/>
        </w:numPr>
      </w:pPr>
      <w:r>
        <w:t xml:space="preserve">Obtain binding replacement product-liability coverage effective at closing for the buyer and post-closing operations.</w:t>
      </w:r>
    </w:p>
    <w:p>
      <w:pPr>
        <w:ind w:left="720" w:hanging="360"/>
        <w:numPr>
          <w:ilvl w:val="0"/>
          <w:numId w:val="1"/>
        </w:numPr>
      </w:pPr>
      <w:r>
        <w:t xml:space="preserve">Confirm limits, deductibles, exclusions, territorial scope, insured entities, and retroactive dates.</w:t>
      </w:r>
    </w:p>
    <w:p>
      <w:pPr>
        <w:ind w:left="720" w:hanging="360"/>
        <w:numPr>
          <w:ilvl w:val="0"/>
          <w:numId w:val="1"/>
        </w:numPr>
      </w:pPr>
      <w:r>
        <w:t xml:space="preserve">Decide whether to purchase 12-, 24-, or 36-month tail coverage and calendar the 30-day election deadline.</w:t>
      </w:r>
    </w:p>
    <w:p>
      <w:pPr>
        <w:ind w:left="720" w:hanging="360"/>
        <w:numPr>
          <w:ilvl w:val="0"/>
          <w:numId w:val="1"/>
        </w:numPr>
      </w:pPr>
      <w:r>
        <w:t xml:space="preserve">Provide the required 15-day notice and preserve evidence of delivery.</w:t>
      </w:r>
    </w:p>
    <w:p>
      <w:pPr>
        <w:ind w:left="720" w:hanging="360"/>
        <w:numPr>
          <w:ilvl w:val="0"/>
          <w:numId w:val="1"/>
        </w:numPr>
      </w:pPr>
      <w:r>
        <w:t xml:space="preserve">Confirm run-off coverage for legacy products, claims-made reporting requirements, and aggregate-limit erosion.</w:t>
      </w:r>
    </w:p>
    <w:p>
      <w:pPr>
        <w:ind w:left="720" w:hanging="360"/>
        <w:numPr>
          <w:ilvl w:val="0"/>
          <w:numId w:val="1"/>
        </w:numPr>
      </w:pPr>
      <w:r>
        <w:t xml:space="preserve">Preserve product traceability, ERP, quality-control, and claims records through the entire run-off period.</w:t>
      </w:r>
    </w:p>
    <w:p>
      <w:pPr>
        <w:ind w:left="720" w:hanging="360"/>
        <w:numPr>
          <w:ilvl w:val="0"/>
          <w:numId w:val="1"/>
        </w:numPr>
      </w:pPr>
      <w:r>
        <w:t xml:space="preserve">Obtain insurer endorsements for any desired successor, parent, Affiliate, or policy-rights changes.</w:t>
      </w:r>
    </w:p>
    <w:p>
      <w:r>
        <w:rPr/>
        <w:t xml:space="preserve"/>
      </w:r>
    </w:p>
    <w:p>
      <w:pPr>
        <w:pStyle w:val="Heading1"/>
      </w:pPr>
      <w:r>
        <w:rPr/>
        <w:t xml:space="preserve">Overall Risk Ranking</w:t>
      </w:r>
    </w:p>
    <w:p>
      <w:r>
        <w:rPr/>
        <w:t xml:space="preserve"/>
      </w:r>
    </w:p>
    <w:p>
      <w:pPr>
        <w:ind w:left="720" w:hanging="360"/>
        <w:numPr>
          <w:ilvl w:val="0"/>
          <w:numId w:val="1"/>
        </w:numPr>
      </w:pPr>
      <w:r>
        <w:t xml:space="preserve">**Hendricks License Agreement — High / Critical execution risk**</w:t>
      </w:r>
    </w:p>
    <w:p>
      <w:r>
        <w:rPr/>
        <w:t xml:space="preserve">Immediate discretionary termination and loss of a business-critical license; unauthorized transfer is void.</w:t>
      </w:r>
    </w:p>
    <w:p>
      <w:r>
        <w:rPr/>
        <w:t xml:space="preserve"/>
      </w:r>
    </w:p>
    <w:p>
      <w:pPr>
        <w:ind w:left="720" w:hanging="360"/>
        <w:numPr>
          <w:ilvl w:val="0"/>
          <w:numId w:val="1"/>
        </w:numPr>
      </w:pPr>
      <w:r>
        <w:t xml:space="preserve">**Summit Credit Agreement — High / Critical financing risk**</w:t>
      </w:r>
    </w:p>
    <w:p>
      <w:r>
        <w:rPr/>
        <w:t xml:space="preserve">Greater-than-35% ownership or board changes may trigger default; greater-than-50% ownership changes require full repayment and commitment termination.</w:t>
      </w:r>
    </w:p>
    <w:p>
      <w:r>
        <w:rPr/>
        <w:t xml:space="preserve"/>
      </w:r>
    </w:p>
    <w:p>
      <w:pPr>
        <w:ind w:left="720" w:hanging="360"/>
        <w:numPr>
          <w:ilvl w:val="0"/>
          <w:numId w:val="1"/>
        </w:numPr>
      </w:pPr>
      <w:r>
        <w:t xml:space="preserve">**Crescent Ridge Lease — High / Critical premises risk**</w:t>
      </w:r>
    </w:p>
    <w:p>
      <w:r>
        <w:rPr/>
        <w:t xml:space="preserve">Broad deemed-assignment clause, no Affiliate carve-out, potential voidness/default, rent acceleration, termination, recapture, and $3.24 million fee.</w:t>
      </w:r>
    </w:p>
    <w:p>
      <w:r>
        <w:rPr/>
        <w:t xml:space="preserve"/>
      </w:r>
    </w:p>
    <w:p>
      <w:pPr>
        <w:ind w:left="720" w:hanging="360"/>
        <w:numPr>
          <w:ilvl w:val="0"/>
          <w:numId w:val="1"/>
        </w:numPr>
      </w:pPr>
      <w:r>
        <w:t xml:space="preserve">**PacWest Supply Agreement — High**</w:t>
      </w:r>
    </w:p>
    <w:p>
      <w:r>
        <w:rPr/>
        <w:t xml:space="preserve">PacWest has sole-discretion consent and termination rights, with continuing supply obligations.</w:t>
      </w:r>
    </w:p>
    <w:p>
      <w:r>
        <w:rPr/>
        <w:t xml:space="preserve"/>
      </w:r>
    </w:p>
    <w:p>
      <w:pPr>
        <w:ind w:left="720" w:hanging="360"/>
        <w:numPr>
          <w:ilvl w:val="0"/>
          <w:numId w:val="1"/>
        </w:numPr>
      </w:pPr>
      <w:r>
        <w:t xml:space="preserve">**Product Liability Policy — High / Critical insurance gap**</w:t>
      </w:r>
    </w:p>
    <w:p>
      <w:r>
        <w:rPr/>
        <w:t xml:space="preserve">Automatic run-off and no post-closing coverage for successor or newly produced products.</w:t>
      </w:r>
    </w:p>
    <w:p>
      <w:r>
        <w:rPr/>
        <w:t xml:space="preserve"/>
      </w:r>
    </w:p>
    <w:p>
      <w:pPr>
        <w:ind w:left="720" w:hanging="360"/>
        <w:numPr>
          <w:ilvl w:val="0"/>
          <w:numId w:val="1"/>
        </w:numPr>
      </w:pPr>
      <w:r>
        <w:t xml:space="preserve">**Apex–Kenji JV Agreement — High**</w:t>
      </w:r>
    </w:p>
    <w:p>
      <w:r>
        <w:rPr/>
        <w:t xml:space="preserve">Parent-level Change of Control can trigger a forced sale of the entire JV interest at a fixed EBITDA multiple.</w:t>
      </w:r>
    </w:p>
    <w:p>
      <w:r>
        <w:rPr/>
        <w:t xml:space="preserve"/>
      </w:r>
    </w:p>
    <w:p>
      <w:pPr>
        <w:ind w:left="720" w:hanging="360"/>
        <w:numPr>
          <w:ilvl w:val="0"/>
          <w:numId w:val="1"/>
        </w:numPr>
      </w:pPr>
      <w:r>
        <w:t xml:space="preserve">**Hesse Employment Agreement — High financial/closing risk**</w:t>
      </w:r>
    </w:p>
    <w:p>
      <w:r>
        <w:rPr/>
        <w:t xml:space="preserve">Single-trigger equity acceleration, potential consent leverage, severance, and 280G exposure.</w:t>
      </w:r>
    </w:p>
    <w:p>
      <w:r>
        <w:rPr/>
        <w:t xml:space="preserve"/>
      </w:r>
    </w:p>
    <w:p>
      <w:pPr>
        <w:ind w:left="720" w:hanging="360"/>
        <w:numPr>
          <w:ilvl w:val="0"/>
          <w:numId w:val="1"/>
        </w:numPr>
      </w:pPr>
      <w:r>
        <w:t xml:space="preserve">**Northland Refining MSA — Medium**</w:t>
      </w:r>
    </w:p>
    <w:p>
      <w:r>
        <w:rPr/>
        <w:t xml:space="preserve">No express Change of Control clause, but indirect assignment-by-operation-of-law and confidentiality risks remain.</w:t>
      </w:r>
    </w:p>
    <w:p>
      <w:r>
        <w:rPr/>
        <w:t xml:space="preserve"/>
      </w:r>
    </w:p>
    <w:p>
      <w:pPr>
        <w:pStyle w:val="Heading1"/>
      </w:pPr>
      <w:r>
        <w:rPr/>
        <w:t xml:space="preserve">Cross-Document Transaction Checklist</w:t>
      </w:r>
    </w:p>
    <w:p>
      <w:r>
        <w:rPr/>
        <w:t xml:space="preserve"/>
      </w:r>
    </w:p>
    <w:p>
      <w:pPr>
        <w:ind w:left="720" w:hanging="360"/>
        <w:numPr>
          <w:ilvl w:val="0"/>
          <w:numId w:val="1"/>
        </w:numPr>
      </w:pPr>
      <w:r>
        <w:t xml:space="preserve">**Identify the transaction structure.**</w:t>
      </w:r>
    </w:p>
    <w:p>
      <w:pPr>
        <w:ind w:left="720" w:hanging="360"/>
        <w:numPr>
          <w:ilvl w:val="0"/>
          <w:numId w:val="1"/>
        </w:numPr>
      </w:pPr>
      <w:r>
        <w:t xml:space="preserve">Test the proposed stock purchase, merger, reverse merger, triangular merger, asset sale, recapitalization, and internal-reorganization alternatives against each definition.</w:t>
      </w:r>
    </w:p>
    <w:p>
      <w:pPr>
        <w:ind w:left="720" w:hanging="360"/>
        <w:numPr>
          <w:ilvl w:val="0"/>
          <w:numId w:val="1"/>
        </w:numPr>
      </w:pPr>
      <w:r>
        <w:t xml:space="preserve">Do not assume a stock transaction avoids assignment or deemed-assignment provisions.</w:t>
      </w:r>
    </w:p>
    <w:p>
      <w:r>
        <w:rPr/>
        <w:t xml:space="preserve"/>
      </w:r>
    </w:p>
    <w:p>
      <w:pPr>
        <w:ind w:left="720" w:hanging="360"/>
        <w:numPr>
          <w:ilvl w:val="0"/>
          <w:numId w:val="1"/>
        </w:numPr>
      </w:pPr>
      <w:r>
        <w:t xml:space="preserve">**Obtain third-party consents and waivers.**</w:t>
      </w:r>
    </w:p>
    <w:p>
      <w:pPr>
        <w:ind w:left="720" w:hanging="360"/>
        <w:numPr>
          <w:ilvl w:val="0"/>
          <w:numId w:val="1"/>
        </w:numPr>
      </w:pPr>
      <w:r>
        <w:t xml:space="preserve">Hendricks license consent and termination waiver.</w:t>
      </w:r>
    </w:p>
    <w:p>
      <w:pPr>
        <w:ind w:left="720" w:hanging="360"/>
        <w:numPr>
          <w:ilvl w:val="0"/>
          <w:numId w:val="1"/>
        </w:numPr>
      </w:pPr>
      <w:r>
        <w:t xml:space="preserve">Crescent Ridge Landlord consent.</w:t>
      </w:r>
    </w:p>
    <w:p>
      <w:pPr>
        <w:ind w:left="720" w:hanging="360"/>
        <w:numPr>
          <w:ilvl w:val="0"/>
          <w:numId w:val="1"/>
        </w:numPr>
      </w:pPr>
      <w:r>
        <w:t xml:space="preserve">PacWest continuation consent.</w:t>
      </w:r>
    </w:p>
    <w:p>
      <w:pPr>
        <w:ind w:left="720" w:hanging="360"/>
        <w:numPr>
          <w:ilvl w:val="0"/>
          <w:numId w:val="1"/>
        </w:numPr>
      </w:pPr>
      <w:r>
        <w:t xml:space="preserve">Summit Lender consent, waiver, or refinancing.</w:t>
      </w:r>
    </w:p>
    <w:p>
      <w:pPr>
        <w:ind w:left="720" w:hanging="360"/>
        <w:numPr>
          <w:ilvl w:val="0"/>
          <w:numId w:val="1"/>
        </w:numPr>
      </w:pPr>
      <w:r>
        <w:t xml:space="preserve">Northland consent or no-consent confirmation if the transaction may constitute an assignment.</w:t>
      </w:r>
    </w:p>
    <w:p>
      <w:pPr>
        <w:ind w:left="720" w:hanging="360"/>
        <w:numPr>
          <w:ilvl w:val="0"/>
          <w:numId w:val="1"/>
        </w:numPr>
      </w:pPr>
      <w:r>
        <w:t xml:space="preserve">Product-liability insurer endorsements or replacement coverage.</w:t>
      </w:r>
    </w:p>
    <w:p>
      <w:r>
        <w:rPr/>
        <w:t xml:space="preserve"/>
      </w:r>
    </w:p>
    <w:p>
      <w:pPr>
        <w:ind w:left="720" w:hanging="360"/>
        <w:numPr>
          <w:ilvl w:val="0"/>
          <w:numId w:val="1"/>
        </w:numPr>
      </w:pPr>
      <w:r>
        <w:t xml:space="preserve">**Address closing conditions.**</w:t>
      </w:r>
    </w:p>
    <w:p>
      <w:pPr>
        <w:ind w:left="720" w:hanging="360"/>
        <w:numPr>
          <w:ilvl w:val="0"/>
          <w:numId w:val="1"/>
        </w:numPr>
      </w:pPr>
      <w:r>
        <w:t xml:space="preserve">Make required consents, lender payoff/refinancing, insurance placement, lease approval, license continuity, and executive waiver matters express closing conditions where appropriate.</w:t>
      </w:r>
    </w:p>
    <w:p>
      <w:pPr>
        <w:ind w:left="720" w:hanging="360"/>
        <w:numPr>
          <w:ilvl w:val="0"/>
          <w:numId w:val="1"/>
        </w:numPr>
      </w:pPr>
      <w:r>
        <w:t xml:space="preserve">Confirm whether Hesse Executive consent is required under the Merger Agreement.</w:t>
      </w:r>
    </w:p>
    <w:p>
      <w:r>
        <w:rPr/>
        <w:t xml:space="preserve"/>
      </w:r>
    </w:p>
    <w:p>
      <w:pPr>
        <w:ind w:left="720" w:hanging="360"/>
        <w:numPr>
          <w:ilvl w:val="0"/>
          <w:numId w:val="1"/>
        </w:numPr>
      </w:pPr>
      <w:r>
        <w:t xml:space="preserve">**Calendar notice deadlines.**</w:t>
      </w:r>
    </w:p>
    <w:p>
      <w:pPr>
        <w:ind w:left="720" w:hanging="360"/>
        <w:numPr>
          <w:ilvl w:val="0"/>
          <w:numId w:val="1"/>
        </w:numPr>
      </w:pPr>
      <w:r>
        <w:t xml:space="preserve">JV: 10 business days after definitive agreement and five business days after closing.</w:t>
      </w:r>
    </w:p>
    <w:p>
      <w:pPr>
        <w:ind w:left="720" w:hanging="360"/>
        <w:numPr>
          <w:ilvl w:val="0"/>
          <w:numId w:val="1"/>
        </w:numPr>
      </w:pPr>
      <w:r>
        <w:t xml:space="preserve">Summit Credit Agreement: five Business Days after knowledge; repayment within 30 days for the greater-than-50% trigger.</w:t>
      </w:r>
    </w:p>
    <w:p>
      <w:pPr>
        <w:ind w:left="720" w:hanging="360"/>
        <w:numPr>
          <w:ilvl w:val="0"/>
          <w:numId w:val="1"/>
        </w:numPr>
      </w:pPr>
      <w:r>
        <w:t xml:space="preserve">Hesse employment: 15 business days before anticipated closing.</w:t>
      </w:r>
    </w:p>
    <w:p>
      <w:pPr>
        <w:ind w:left="720" w:hanging="360"/>
        <w:numPr>
          <w:ilvl w:val="0"/>
          <w:numId w:val="1"/>
        </w:numPr>
      </w:pPr>
      <w:r>
        <w:t xml:space="preserve">PacWest: 10 business days after closing; consent within 60 days.</w:t>
      </w:r>
    </w:p>
    <w:p>
      <w:pPr>
        <w:ind w:left="720" w:hanging="360"/>
        <w:numPr>
          <w:ilvl w:val="0"/>
          <w:numId w:val="1"/>
        </w:numPr>
      </w:pPr>
      <w:r>
        <w:t xml:space="preserve">Product liability: 15 days after closing; tail election within 30 days.</w:t>
      </w:r>
    </w:p>
    <w:p>
      <w:pPr>
        <w:ind w:left="720" w:hanging="360"/>
        <w:numPr>
          <w:ilvl w:val="0"/>
          <w:numId w:val="1"/>
        </w:numPr>
      </w:pPr>
      <w:r>
        <w:t xml:space="preserve">Lease: consent request at least 30 days before effectiveness.</w:t>
      </w:r>
    </w:p>
    <w:p>
      <w:pPr>
        <w:ind w:left="720" w:hanging="360"/>
        <w:numPr>
          <w:ilvl w:val="0"/>
          <w:numId w:val="1"/>
        </w:numPr>
      </w:pPr>
      <w:r>
        <w:t xml:space="preserve">Hendricks: immediate post-closing termination risk; obtain consent before closing rather than relying on notice.</w:t>
      </w:r>
    </w:p>
    <w:p>
      <w:r>
        <w:rPr/>
        <w:t xml:space="preserve"/>
      </w:r>
    </w:p>
    <w:p>
      <w:pPr>
        <w:ind w:left="720" w:hanging="360"/>
        <w:numPr>
          <w:ilvl w:val="0"/>
          <w:numId w:val="1"/>
        </w:numPr>
      </w:pPr>
      <w:r>
        <w:t xml:space="preserve">**Quantify transaction economics.**</w:t>
      </w:r>
    </w:p>
    <w:p>
      <w:pPr>
        <w:ind w:left="720" w:hanging="360"/>
        <w:numPr>
          <w:ilvl w:val="0"/>
          <w:numId w:val="1"/>
        </w:numPr>
      </w:pPr>
      <w:r>
        <w:t xml:space="preserve">JV buy-out at 4.5x EBITDA.</w:t>
      </w:r>
    </w:p>
    <w:p>
      <w:pPr>
        <w:ind w:left="720" w:hanging="360"/>
        <w:numPr>
          <w:ilvl w:val="0"/>
          <w:numId w:val="1"/>
        </w:numPr>
      </w:pPr>
      <w:r>
        <w:t xml:space="preserve">Summit repayment and refinancing amount.</w:t>
      </w:r>
    </w:p>
    <w:p>
      <w:pPr>
        <w:ind w:left="720" w:hanging="360"/>
        <w:numPr>
          <w:ilvl w:val="0"/>
          <w:numId w:val="1"/>
        </w:numPr>
      </w:pPr>
      <w:r>
        <w:t xml:space="preserve">Hesse cash severance, equity acceleration, benefits, and 280G exposure.</w:t>
      </w:r>
    </w:p>
    <w:p>
      <w:pPr>
        <w:ind w:left="720" w:hanging="360"/>
        <w:numPr>
          <w:ilvl w:val="0"/>
          <w:numId w:val="1"/>
        </w:numPr>
      </w:pPr>
      <w:r>
        <w:t xml:space="preserve">Crescent Ridge early termination fee, accelerated Rent, and recapture exposure.</w:t>
      </w:r>
    </w:p>
    <w:p>
      <w:pPr>
        <w:ind w:left="720" w:hanging="360"/>
        <w:numPr>
          <w:ilvl w:val="0"/>
          <w:numId w:val="1"/>
        </w:numPr>
      </w:pPr>
      <w:r>
        <w:t xml:space="preserve">Product-liability tail premiums and replacement insurance costs.</w:t>
      </w:r>
    </w:p>
    <w:p>
      <w:pPr>
        <w:ind w:left="720" w:hanging="360"/>
        <w:numPr>
          <w:ilvl w:val="0"/>
          <w:numId w:val="1"/>
        </w:numPr>
      </w:pPr>
      <w:r>
        <w:t xml:space="preserve">Potential PacWest and Northland termination consequences.</w:t>
      </w:r>
    </w:p>
    <w:p>
      <w:r>
        <w:rPr/>
        <w:t xml:space="preserve"/>
      </w:r>
    </w:p>
    <w:p>
      <w:pPr>
        <w:ind w:left="720" w:hanging="360"/>
        <w:numPr>
          <w:ilvl w:val="0"/>
          <w:numId w:val="1"/>
        </w:numPr>
      </w:pPr>
      <w:r>
        <w:t xml:space="preserve">**Preserve business continuity.**</w:t>
      </w:r>
    </w:p>
    <w:p>
      <w:pPr>
        <w:ind w:left="720" w:hanging="360"/>
        <w:numPr>
          <w:ilvl w:val="0"/>
          <w:numId w:val="1"/>
        </w:numPr>
      </w:pPr>
      <w:r>
        <w:t xml:space="preserve">Secure license continuation and manufacturing rights.</w:t>
      </w:r>
    </w:p>
    <w:p>
      <w:pPr>
        <w:ind w:left="720" w:hanging="360"/>
        <w:numPr>
          <w:ilvl w:val="0"/>
          <w:numId w:val="1"/>
        </w:numPr>
      </w:pPr>
      <w:r>
        <w:t xml:space="preserve">Confirm supply continuity and accepted Purchase Order performance.</w:t>
      </w:r>
    </w:p>
    <w:p>
      <w:pPr>
        <w:ind w:left="720" w:hanging="360"/>
        <w:numPr>
          <w:ilvl w:val="0"/>
          <w:numId w:val="1"/>
        </w:numPr>
      </w:pPr>
      <w:r>
        <w:t xml:space="preserve">Preserve headquarters occupancy and renewal rights.</w:t>
      </w:r>
    </w:p>
    <w:p>
      <w:pPr>
        <w:ind w:left="720" w:hanging="360"/>
        <w:numPr>
          <w:ilvl w:val="0"/>
          <w:numId w:val="1"/>
        </w:numPr>
      </w:pPr>
      <w:r>
        <w:t xml:space="preserve">Obtain post-closing product-liability coverage.</w:t>
      </w:r>
    </w:p>
    <w:p>
      <w:pPr>
        <w:ind w:left="720" w:hanging="360"/>
        <w:numPr>
          <w:ilvl w:val="0"/>
          <w:numId w:val="1"/>
        </w:numPr>
      </w:pPr>
      <w:r>
        <w:t xml:space="preserve">Maintain JV governance, exclusivity, and technology-license rights.</w:t>
      </w:r>
    </w:p>
    <w:p>
      <w:r>
        <w:rPr/>
        <w:t xml:space="preserve"/>
      </w:r>
    </w:p>
    <w:p>
      <w:pPr>
        <w:ind w:left="720" w:hanging="360"/>
        <w:numPr>
          <w:ilvl w:val="0"/>
          <w:numId w:val="1"/>
        </w:numPr>
      </w:pPr>
      <w:r>
        <w:t xml:space="preserve">**Review indirect restrictions.**</w:t>
      </w:r>
    </w:p>
    <w:p>
      <w:pPr>
        <w:ind w:left="720" w:hanging="360"/>
        <w:numPr>
          <w:ilvl w:val="0"/>
          <w:numId w:val="1"/>
        </w:numPr>
      </w:pPr>
      <w:r>
        <w:t xml:space="preserve">JV exclusivity and Affiliate activities.</w:t>
      </w:r>
    </w:p>
    <w:p>
      <w:pPr>
        <w:ind w:left="720" w:hanging="360"/>
        <w:numPr>
          <w:ilvl w:val="0"/>
          <w:numId w:val="1"/>
        </w:numPr>
      </w:pPr>
      <w:r>
        <w:t xml:space="preserve">Summit negative covenants concerning subsidiaries, investments, Affiliates, distributions, and Material Contracts.</w:t>
      </w:r>
    </w:p>
    <w:p>
      <w:pPr>
        <w:ind w:left="720" w:hanging="360"/>
        <w:numPr>
          <w:ilvl w:val="0"/>
          <w:numId w:val="1"/>
        </w:numPr>
      </w:pPr>
      <w:r>
        <w:t xml:space="preserve">Lease tangible-net-worth and permitted-successor requirements.</w:t>
      </w:r>
    </w:p>
    <w:p>
      <w:pPr>
        <w:ind w:left="720" w:hanging="360"/>
        <w:numPr>
          <w:ilvl w:val="0"/>
          <w:numId w:val="1"/>
        </w:numPr>
      </w:pPr>
      <w:r>
        <w:t xml:space="preserve">Hesse Good Reason triggers arising from integration.</w:t>
      </w:r>
    </w:p>
    <w:p>
      <w:pPr>
        <w:ind w:left="720" w:hanging="360"/>
        <w:numPr>
          <w:ilvl w:val="0"/>
          <w:numId w:val="1"/>
        </w:numPr>
      </w:pPr>
      <w:r>
        <w:t xml:space="preserve">Northland confidentiality access by newly formed Affiliates.</w:t>
      </w:r>
    </w:p>
    <w:p>
      <w:pPr>
        <w:ind w:left="720" w:hanging="360"/>
        <w:numPr>
          <w:ilvl w:val="0"/>
          <w:numId w:val="1"/>
        </w:numPr>
      </w:pPr>
      <w:r>
        <w:t xml:space="preserve">Policy records, ERP, and product-traceability obligations.</w:t>
      </w:r>
    </w:p>
    <w:p>
      <w:r>
        <w:rPr/>
        <w:t xml:space="preserve"/>
      </w:r>
    </w:p>
    <w:p>
      <w:pPr>
        <w:ind w:left="720" w:hanging="360"/>
        <w:numPr>
          <w:ilvl w:val="0"/>
          <w:numId w:val="1"/>
        </w:numPr>
      </w:pPr>
      <w:r>
        <w:t xml:space="preserve">**Document successor assumptions and releases.**</w:t>
      </w:r>
    </w:p>
    <w:p>
      <w:pPr>
        <w:ind w:left="720" w:hanging="360"/>
        <w:numPr>
          <w:ilvl w:val="0"/>
          <w:numId w:val="1"/>
        </w:numPr>
      </w:pPr>
      <w:r>
        <w:t xml:space="preserve">Obtain express assumptions by successors under the JV, employment agreement, lease, supply agreements, and insurance arrangements.</w:t>
      </w:r>
    </w:p>
    <w:p>
      <w:pPr>
        <w:ind w:left="720" w:hanging="360"/>
        <w:numPr>
          <w:ilvl w:val="0"/>
          <w:numId w:val="1"/>
        </w:numPr>
      </w:pPr>
      <w:r>
        <w:t xml:space="preserve">Seek releases of existing entities where commercially necessary; note that the JV, lease, and Northland provisions may preserve continuing liability.</w:t>
      </w:r>
    </w:p>
    <w:p>
      <w:r>
        <w:rPr/>
        <w:t xml:space="preserve"/>
      </w:r>
    </w:p>
    <w:p>
      <w:pPr>
        <w:pStyle w:val="Heading1"/>
      </w:pPr>
      <w:r>
        <w:rPr/>
        <w:t xml:space="preserve">Important Limitations</w:t>
      </w:r>
    </w:p>
    <w:p>
      <w:r>
        <w:rPr/>
        <w:t xml:space="preserve"/>
      </w:r>
    </w:p>
    <w:p>
      <w:pPr>
        <w:ind w:left="720" w:hanging="360"/>
        <w:numPr>
          <w:ilvl w:val="0"/>
          <w:numId w:val="1"/>
        </w:numPr>
      </w:pPr>
      <w:r>
        <w:t xml:space="preserve">This synthesis is based solely on the supplied review text and quotations, not on independent review of the underlying contracts, exhibits, schedules, amendments, side letters, policies, merger agreements, or governing law.</w:t>
      </w:r>
    </w:p>
    <w:p>
      <w:pPr>
        <w:ind w:left="720" w:hanging="360"/>
        <w:numPr>
          <w:ilvl w:val="0"/>
          <w:numId w:val="1"/>
        </w:numPr>
      </w:pPr>
      <w:r>
        <w:t xml:space="preserve">The report does not independently verify party names, ownership percentages, outstanding debt, financial amounts, dates, or the continuing effectiveness of any provision.</w:t>
      </w:r>
    </w:p>
    <w:p>
      <w:pPr>
        <w:ind w:left="720" w:hanging="360"/>
        <w:numPr>
          <w:ilvl w:val="0"/>
          <w:numId w:val="1"/>
        </w:numPr>
      </w:pPr>
      <w:r>
        <w:t xml:space="preserve">Consequences described as potential defaults, assignment-by-operation-of-law issues, or enforceability risks may depend on transaction structure, governing law, facts, lender or counterparty conduct, and other contract provisions not included in the supplied text.</w:t>
      </w:r>
    </w:p>
    <w:p>
      <w:pPr>
        <w:ind w:left="720" w:hanging="360"/>
        <w:numPr>
          <w:ilvl w:val="0"/>
          <w:numId w:val="1"/>
        </w:numPr>
      </w:pPr>
      <w:r>
        <w:t xml:space="preserve">No conclusion is offered regarding the enforceability of restrictive covenants, acceleration provisions, voidness provisions, insurance coverage limitations, landlord remedies, or successor-liability provisions under applicable law.</w:t>
      </w:r>
    </w:p>
    <w:p>
      <w:pPr>
        <w:ind w:left="720" w:hanging="360"/>
        <w:numPr>
          <w:ilvl w:val="0"/>
          <w:numId w:val="1"/>
        </w:numPr>
      </w:pPr>
      <w:r>
        <w:t xml:space="preserve">The supplied reviews sometimes characterize provisions as applying to particular transaction structures; those conclusions should be confirmed against the complete agreement and transaction documents before signing or closing.</w:t>
      </w:r>
    </w:p>
    <w:p>
      <w:pPr>
        <w:pStyle w:val="Heading1"/>
      </w:pPr>
      <w:r>
        <w:rPr/>
        <w:t xml:space="preserve">Closing Diligence Checklist</w:t>
      </w:r>
    </w:p>
    <w:p>
      <w:pPr>
        <w:ind w:left="720" w:hanging="360"/>
        <w:numPr>
          <w:ilvl w:val="0"/>
          <w:numId w:val="1"/>
        </w:numPr>
      </w:pPr>
      <w:r>
        <w:t xml:space="preserve">Confirm the transaction structure and test stock purchase, merger, asset sale, recapitalization, and internal-reorganization alternatives against each contract's trigger language.</w:t>
      </w:r>
    </w:p>
    <w:p>
      <w:pPr>
        <w:ind w:left="720" w:hanging="360"/>
        <w:numPr>
          <w:ilvl w:val="0"/>
          <w:numId w:val="1"/>
        </w:numPr>
      </w:pPr>
      <w:r>
        <w:t xml:space="preserve">Obtain all required third-party consents, waivers, lender approvals, landlord approvals, license continuations, supplier consents, insurer endorsements, and executive waivers before closing.</w:t>
      </w:r>
    </w:p>
    <w:p>
      <w:pPr>
        <w:ind w:left="720" w:hanging="360"/>
        <w:numPr>
          <w:ilvl w:val="0"/>
          <w:numId w:val="1"/>
        </w:numPr>
      </w:pPr>
      <w:r>
        <w:t xml:space="preserve">Make material consents, refinancing or payoff, replacement insurance, lease approval, and continuity of critical licenses express closing conditions where appropriate.</w:t>
      </w:r>
    </w:p>
    <w:p>
      <w:pPr>
        <w:ind w:left="720" w:hanging="360"/>
        <w:numPr>
          <w:ilvl w:val="0"/>
          <w:numId w:val="1"/>
        </w:numPr>
      </w:pPr>
      <w:r>
        <w:t xml:space="preserve">Calendar all notice and election deadlines, including signing-stage and closing-stage notices, post-closing notices, repayment periods, tail-election windows, and successor joinder deadlines.</w:t>
      </w:r>
    </w:p>
    <w:p>
      <w:pPr>
        <w:ind w:left="720" w:hanging="360"/>
        <w:numPr>
          <w:ilvl w:val="0"/>
          <w:numId w:val="1"/>
        </w:numPr>
      </w:pPr>
      <w:r>
        <w:t xml:space="preserve">Confirm whether any direct transfer of an equity interest, policy right, leasehold, license, or contract right occurs in addition to the parent-level change of control.</w:t>
      </w:r>
    </w:p>
    <w:p>
      <w:pPr>
        <w:ind w:left="720" w:hanging="360"/>
        <w:numPr>
          <w:ilvl w:val="0"/>
          <w:numId w:val="1"/>
        </w:numPr>
      </w:pPr>
      <w:r>
        <w:t xml:space="preserve">Obtain payoff, refinancing, or covenant-waiver documentation for debt facilities and model all termination fees, accelerated amounts, premiums, buy-out prices, and other transaction costs.</w:t>
      </w:r>
    </w:p>
    <w:p>
      <w:pPr>
        <w:ind w:left="720" w:hanging="360"/>
        <w:numPr>
          <w:ilvl w:val="0"/>
          <w:numId w:val="1"/>
        </w:numPr>
      </w:pPr>
      <w:r>
        <w:t xml:space="preserve">Verify post-closing coverage, successor rights, assignment effectiveness, confidentiality obligations, and continuing indemnity or guarantee obligations.</w:t>
      </w:r>
    </w:p>
    <w:sectPr>
      <w:pgSz w:w="12240" w:h="15840"/>
      <w:pgMar w:top="900" w:right="900" w:bottom="900" w:left="900"/>
    </w:sectPr>
  </w:body>
</w:document>
</file>

<file path=word/styles.xml><?xml version="1.0" encoding="utf-8"?>
<w:styles xmlns:w="http://schemas.openxmlformats.org/wordprocessingml/2006/main">
  <w:style w:type="paragraph" w:default="1" w:styleId="Normal">
    <w:name w:val="Normal"/>
    <w:rPr>
      <w:fonts w:ascii="Aptos" w:hAnsi="Aptos"/>
      <w:sz w:val="20"/>
    </w:rPr>
  </w:style>
  <w:style w:type="paragraph" w:styleId="Title">
    <w:name w:val="Title"/>
    <w:basedOn w:val="Normal"/>
    <w:pPr>
      <w:jc w:val="center"/>
    </w:pPr>
    <w:rPr>
      <w:b/>
      <w:sz w:val="32"/>
    </w:rPr>
  </w:style>
  <w:style w:type="paragraph" w:styleId="Subtitle">
    <w:name w:val="Subtitle"/>
    <w:basedOn w:val="Normal"/>
    <w:pPr>
      <w:jc w:val="center"/>
    </w:pPr>
    <w:rPr>
      <w:sz w:val="22"/>
    </w:rPr>
  </w:style>
  <w:style w:type="paragraph" w:styleId="Heading1">
    <w:name w:val="heading 1"/>
    <w:basedOn w:val="Normal"/>
    <w:pPr>
      <w:outlineLvl w:val="0"/>
    </w:pPr>
    <w:rPr>
      <w:b/>
      <w:sz w:val="28"/>
    </w:rPr>
  </w:style>
  <w:style w:type="paragraph" w:styleId="Heading2">
    <w:name w:val="heading 2"/>
    <w:basedOn w:val="Normal"/>
    <w:pPr>
      <w:outlineLvl w:val="1"/>
    </w:pPr>
    <w:rPr>
      <w:b/>
      <w:sz w:val="24"/>
    </w:rPr>
  </w:style>
  <w:style w:type="paragraph" w:styleId="Heading3">
    <w:name w:val="heading 3"/>
    <w:basedOn w:val="Normal"/>
    <w:pPr>
      <w:outlineLvl w:val="2"/>
    </w:pPr>
    <w:rPr>
      <w:b/>
      <w:sz w:val="22"/>
    </w:rPr>
  </w:style>
  <w:style w:type="paragraph" w:styleId="Quote">
    <w:name w:val="Quote"/>
    <w:basedOn w:val="Normal"/>
    <w:pPr>
      <w:ind w:left="720" w:right="720"/>
    </w:pPr>
    <w:rPr>
      <w:i/>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