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r>
        <w:rPr>
          <w:b/>
          <w:color w:val="1F4E79"/>
          <w:sz w:val="40"/>
        </w:rPr>
        <w:t xml:space="preserve">CHANGE-OF-CONTROL EXTRACTION REPORT</w:t>
      </w:r>
    </w:p>
    <w:p>
      <w:pPr/>
      <w:r>
        <w:rPr>
          <w:i/>
          <w:sz w:val="26"/>
        </w:rPr>
        <w:t xml:space="preserve">Acquisition Target Contract Review</w:t>
      </w:r>
    </w:p>
    <w:p>
      <w:pPr/>
      <w:r>
        <w:rPr>
          <w:sz w:val="20"/>
        </w:rPr>
        <w:t xml:space="preserve">Prepared from all eight contract text files in the transaction workspace</w:t>
      </w:r>
    </w:p>
    <w:p>
      <w:pPr/>
      <w:r>
        <w:rPr>
          <w:sz w:val="20"/>
        </w:rPr>
        <w:t xml:space="preserve">Date: September 7, 2026</w:t>
      </w:r>
    </w:p>
    <w:p>
      <w:pPr>
        <w:pStyle w:val="Heading1"/>
      </w:pPr>
      <w:r>
        <w:rPr>
          <w:b/>
          <w:color w:val="1F4E79"/>
          <w:sz w:val="32"/>
        </w:rPr>
        <w:t xml:space="preserve">1. Executive Summary</w:t>
      </w:r>
    </w:p>
    <w:p>
      <w:pPr/>
      <w:r>
        <w:rPr>
          <w:sz w:val="20"/>
        </w:rPr>
        <w:t xml:space="preserve">This report extracts express change-of-control provisions and adjacent assignment, merger, transfer, termination, insurance, and financing provisions from every source document. The principal exposures are: (i) mandatory repayment and default risk under the Summit credit agreement; (ii) a potential buyout of the affected member's JV interest under the Apex-Kenji agreement; (iii) termination or consent rights under the Hendricks license and PacWest supply agreement; and (iv) automatic product-liability policy run-off with no post-closing product coverage. Northland, the Crescent Ridge lease, and the Hesse employment agreement do not appear to contain a conventional operative change-of-control trigger in the supplied text, but adjacent assignment, delegation, subletting, merger, and termination provisions remain relevant.</w:t>
      </w:r>
    </w:p>
    <w:p>
      <w:pPr>
        <w:pStyle w:val="Heading1"/>
      </w:pPr>
      <w:r>
        <w:rPr>
          <w:b/>
          <w:color w:val="1F4E79"/>
          <w:sz w:val="32"/>
        </w:rPr>
        <w:t xml:space="preserve">2. Executive Risk Matrix</w:t>
      </w:r>
    </w:p>
    <w:tbl>
      <w:tblPr>
        <w:tblStyle w:val="TableGrid"/>
        <w:tblW w:w="0" w:type="auto"/>
      </w:tblPr>
      <w:tr>
        <w:tc>
          <w:tcPr>
            <w:shd w:fill="1F4E79"/>
          </w:tcPr>
          <w:p>
            <w:r>
              <w:rPr>
                <w:b/>
                <w:color w:val="FFFFFF"/>
                <w:sz w:val="17"/>
              </w:rPr>
              <w:t xml:space="preserve">Document</w:t>
            </w:r>
          </w:p>
        </w:tc>
        <w:tc>
          <w:tcPr>
            <w:shd w:fill="1F4E79"/>
          </w:tcPr>
          <w:p>
            <w:r>
              <w:rPr>
                <w:b/>
                <w:color w:val="FFFFFF"/>
                <w:sz w:val="17"/>
              </w:rPr>
              <w:t xml:space="preserve">Risk</w:t>
            </w:r>
          </w:p>
        </w:tc>
        <w:tc>
          <w:tcPr>
            <w:shd w:fill="1F4E79"/>
          </w:tcPr>
          <w:p>
            <w:r>
              <w:rPr>
                <w:b/>
                <w:color w:val="FFFFFF"/>
                <w:sz w:val="17"/>
              </w:rPr>
              <w:t xml:space="preserve">Principal exposure</w:t>
            </w:r>
          </w:p>
        </w:tc>
      </w:tr>
      <w:tr>
        <w:tc>
          <w:tcPr>
            <w:shd w:fill="FFFFFF"/>
          </w:tcPr>
          <w:p>
            <w:r>
              <w:rPr>
                <w:color w:val="000000"/>
                <w:sz w:val="17"/>
              </w:rPr>
              <w:t xml:space="preserve">Summit credit agreement</w:t>
            </w:r>
          </w:p>
        </w:tc>
        <w:tc>
          <w:tcPr>
            <w:shd w:fill="FCE4D6"/>
          </w:tcPr>
          <w:p>
            <w:r>
              <w:rPr>
                <w:b/>
                <w:color w:val="000000"/>
                <w:sz w:val="17"/>
              </w:rPr>
              <w:t xml:space="preserve">CRITICAL</w:t>
            </w:r>
          </w:p>
        </w:tc>
        <w:tc>
          <w:tcPr>
            <w:shd w:fill="FFFFFF"/>
          </w:tcPr>
          <w:p>
            <w:r>
              <w:rPr>
                <w:color w:val="000000"/>
                <w:sz w:val="17"/>
              </w:rPr>
              <w:t xml:space="preserve">&gt;50% ownership triggers mandatory repayment; &gt;35% is a separate Event of Default; commitments terminate.</w:t>
            </w:r>
          </w:p>
        </w:tc>
      </w:tr>
      <w:tr>
        <w:tc>
          <w:tcPr>
            <w:shd w:fill="FFFFFF"/>
          </w:tcPr>
          <w:p>
            <w:r>
              <w:rPr>
                <w:color w:val="000000"/>
                <w:sz w:val="17"/>
              </w:rPr>
              <w:t xml:space="preserve">Apex-Kenji JV agreement</w:t>
            </w:r>
          </w:p>
        </w:tc>
        <w:tc>
          <w:tcPr>
            <w:shd w:fill="FCE4D6"/>
          </w:tcPr>
          <w:p>
            <w:r>
              <w:rPr>
                <w:b/>
                <w:color w:val="000000"/>
                <w:sz w:val="17"/>
              </w:rPr>
              <w:t xml:space="preserve">HIGH</w:t>
            </w:r>
          </w:p>
        </w:tc>
        <w:tc>
          <w:tcPr>
            <w:shd w:fill="FFFFFF"/>
          </w:tcPr>
          <w:p>
            <w:r>
              <w:rPr>
                <w:color w:val="000000"/>
                <w:sz w:val="17"/>
              </w:rPr>
              <w:t xml:space="preserve">Unaffected Member has a 90-day option to buy all affected JV interest at 4.5x EBITDA.</w:t>
            </w:r>
          </w:p>
        </w:tc>
      </w:tr>
      <w:tr>
        <w:tc>
          <w:tcPr>
            <w:shd w:fill="FFFFFF"/>
          </w:tcPr>
          <w:p>
            <w:r>
              <w:rPr>
                <w:color w:val="000000"/>
                <w:sz w:val="17"/>
              </w:rPr>
              <w:t xml:space="preserve">Hendricks license</w:t>
            </w:r>
          </w:p>
        </w:tc>
        <w:tc>
          <w:tcPr>
            <w:shd w:fill="FCE4D6"/>
          </w:tcPr>
          <w:p>
            <w:r>
              <w:rPr>
                <w:b/>
                <w:color w:val="000000"/>
                <w:sz w:val="17"/>
              </w:rPr>
              <w:t xml:space="preserve">HIGH</w:t>
            </w:r>
          </w:p>
        </w:tc>
        <w:tc>
          <w:tcPr>
            <w:shd w:fill="FFFFFF"/>
          </w:tcPr>
          <w:p>
            <w:r>
              <w:rPr>
                <w:color w:val="000000"/>
                <w:sz w:val="17"/>
              </w:rPr>
              <w:t xml:space="preserve">Broad merger, asset-sale, and control-change trigger; consent/termination risk and possible loss of technology rights.</w:t>
            </w:r>
          </w:p>
        </w:tc>
      </w:tr>
      <w:tr>
        <w:tc>
          <w:tcPr>
            <w:shd w:fill="FFFFFF"/>
          </w:tcPr>
          <w:p>
            <w:r>
              <w:rPr>
                <w:color w:val="000000"/>
                <w:sz w:val="17"/>
              </w:rPr>
              <w:t xml:space="preserve">PacWest supply agreement</w:t>
            </w:r>
          </w:p>
        </w:tc>
        <w:tc>
          <w:tcPr>
            <w:shd w:fill="FCE4D6"/>
          </w:tcPr>
          <w:p>
            <w:r>
              <w:rPr>
                <w:b/>
                <w:color w:val="000000"/>
                <w:sz w:val="17"/>
              </w:rPr>
              <w:t xml:space="preserve">HIGH</w:t>
            </w:r>
          </w:p>
        </w:tc>
        <w:tc>
          <w:tcPr>
            <w:shd w:fill="FFFFFF"/>
          </w:tcPr>
          <w:p>
            <w:r>
              <w:rPr>
                <w:color w:val="000000"/>
                <w:sz w:val="17"/>
              </w:rPr>
              <w:t xml:space="preserve">Broad supplier control-change definition; PacWest may terminate on 90 days' notice.</w:t>
            </w:r>
          </w:p>
        </w:tc>
      </w:tr>
      <w:tr>
        <w:tc>
          <w:tcPr>
            <w:shd w:fill="FFFFFF"/>
          </w:tcPr>
          <w:p>
            <w:r>
              <w:rPr>
                <w:color w:val="000000"/>
                <w:sz w:val="17"/>
              </w:rPr>
              <w:t xml:space="preserve">Product-liability policy</w:t>
            </w:r>
          </w:p>
        </w:tc>
        <w:tc>
          <w:tcPr>
            <w:shd w:fill="FCE4D6"/>
          </w:tcPr>
          <w:p>
            <w:r>
              <w:rPr>
                <w:b/>
                <w:color w:val="000000"/>
                <w:sz w:val="17"/>
              </w:rPr>
              <w:t xml:space="preserve">HIGH</w:t>
            </w:r>
          </w:p>
        </w:tc>
        <w:tc>
          <w:tcPr>
            <w:shd w:fill="FFFFFF"/>
          </w:tcPr>
          <w:p>
            <w:r>
              <w:rPr>
                <w:color w:val="000000"/>
                <w:sz w:val="17"/>
              </w:rPr>
              <w:t xml:space="preserve">Automatic run-off after qualifying control, merger, or substantially-all-assets transaction; no post-closing product coverage.</w:t>
            </w:r>
          </w:p>
        </w:tc>
      </w:tr>
      <w:tr>
        <w:tc>
          <w:tcPr>
            <w:shd w:fill="FFFFFF"/>
          </w:tcPr>
          <w:p>
            <w:r>
              <w:rPr>
                <w:color w:val="000000"/>
                <w:sz w:val="17"/>
              </w:rPr>
              <w:t xml:space="preserve">Crescent Ridge lease</w:t>
            </w:r>
          </w:p>
        </w:tc>
        <w:tc>
          <w:tcPr>
            <w:shd w:fill="FFFFFF"/>
          </w:tcPr>
          <w:p>
            <w:r>
              <w:rPr>
                <w:b/>
                <w:color w:val="000000"/>
                <w:sz w:val="17"/>
              </w:rPr>
              <w:t xml:space="preserve">MEDIUM</w:t>
            </w:r>
          </w:p>
        </w:tc>
        <w:tc>
          <w:tcPr>
            <w:shd w:fill="FFFFFF"/>
          </w:tcPr>
          <w:p>
            <w:r>
              <w:rPr>
                <w:color w:val="000000"/>
                <w:sz w:val="17"/>
              </w:rPr>
              <w:t xml:space="preserve">No express change-of-control clause identified; assignment and subletting restrictions may affect transaction structure.</w:t>
            </w:r>
          </w:p>
        </w:tc>
      </w:tr>
      <w:tr>
        <w:tc>
          <w:tcPr>
            <w:shd w:fill="FFFFFF"/>
          </w:tcPr>
          <w:p>
            <w:r>
              <w:rPr>
                <w:color w:val="000000"/>
                <w:sz w:val="17"/>
              </w:rPr>
              <w:t xml:space="preserve">Hesse employment agreement</w:t>
            </w:r>
          </w:p>
        </w:tc>
        <w:tc>
          <w:tcPr>
            <w:shd w:fill="FFFFFF"/>
          </w:tcPr>
          <w:p>
            <w:r>
              <w:rPr>
                <w:b/>
                <w:color w:val="000000"/>
                <w:sz w:val="17"/>
              </w:rPr>
              <w:t xml:space="preserve">LOW–MEDIUM</w:t>
            </w:r>
          </w:p>
        </w:tc>
        <w:tc>
          <w:tcPr>
            <w:shd w:fill="FFFFFF"/>
          </w:tcPr>
          <w:p>
            <w:r>
              <w:rPr>
                <w:color w:val="000000"/>
                <w:sz w:val="17"/>
              </w:rPr>
              <w:t xml:space="preserve">No conventional change-of-control trigger identified; termination/severance and assignment provisions remain relevant.</w:t>
            </w:r>
          </w:p>
        </w:tc>
      </w:tr>
      <w:tr>
        <w:tc>
          <w:tcPr>
            <w:shd w:fill="FFFFFF"/>
          </w:tcPr>
          <w:p>
            <w:r>
              <w:rPr>
                <w:color w:val="000000"/>
                <w:sz w:val="17"/>
              </w:rPr>
              <w:t xml:space="preserve">Northland MSA</w:t>
            </w:r>
          </w:p>
        </w:tc>
        <w:tc>
          <w:tcPr>
            <w:shd w:fill="FFFFFF"/>
          </w:tcPr>
          <w:p>
            <w:r>
              <w:rPr>
                <w:b/>
                <w:color w:val="000000"/>
                <w:sz w:val="17"/>
              </w:rPr>
              <w:t xml:space="preserve">LOW–MEDIUM</w:t>
            </w:r>
          </w:p>
        </w:tc>
        <w:tc>
          <w:tcPr>
            <w:shd w:fill="FFFFFF"/>
          </w:tcPr>
          <w:p>
            <w:r>
              <w:rPr>
                <w:color w:val="000000"/>
                <w:sz w:val="17"/>
              </w:rPr>
              <w:t xml:space="preserve">No express change-of-control clause identified; broad assignment/delegation restrictions create residual risk.</w:t>
            </w:r>
          </w:p>
        </w:tc>
      </w:tr>
    </w:tbl>
    <w:p>
      <w:pPr>
        <w:pStyle w:val="Heading1"/>
      </w:pPr>
      <w:r>
        <w:rPr>
          <w:b/>
          <w:color w:val="1F4E79"/>
          <w:sz w:val="32"/>
        </w:rPr>
        <w:t xml:space="preserve">3. Cross-Document Transaction Observations</w:t>
      </w:r>
    </w:p>
    <w:p>
      <w:pPr>
        <w:pStyle w:val="ListBullet"/>
      </w:pPr>
      <w:r>
        <w:rPr>
          <w:sz w:val="18"/>
        </w:rPr>
        <w:t xml:space="preserve">A stock acquisition of Apex is treated differently across the portfolio. The credit agreement, insurance policy, JV agreement, and PacWest agreement contain express control-change regimes, while Northland, the lease, and the employment agreement require analysis primarily through assignment or related provisions.</w:t>
      </w:r>
    </w:p>
    <w:p>
      <w:pPr>
        <w:pStyle w:val="ListBullet"/>
      </w:pPr>
      <w:r>
        <w:rPr>
          <w:sz w:val="18"/>
        </w:rPr>
        <w:t xml:space="preserve">Asset transactions are generally more hazardous where agreements separately address sales or transfers of all or substantially all assets. The Hendricks license, insurance policy, and PacWest agreement expressly address asset transfers or substantially-all-assets transactions.</w:t>
      </w:r>
    </w:p>
    <w:p>
      <w:pPr>
        <w:pStyle w:val="ListBullet"/>
      </w:pPr>
      <w:r>
        <w:rPr>
          <w:sz w:val="18"/>
        </w:rPr>
        <w:t xml:space="preserve">The financing documents should be treated as a closing-condition workstream. Confirm thresholds, repayment source, waivers or consents, and whether the transaction creates a separate Event of Default.</w:t>
      </w:r>
    </w:p>
    <w:p>
      <w:pPr>
        <w:pStyle w:val="ListBullet"/>
      </w:pPr>
      <w:r>
        <w:rPr>
          <w:sz w:val="18"/>
        </w:rPr>
        <w:t xml:space="preserve">Insurance continuity requires separate diligence. Run-off protects only pre-closing products or occurrences within applicable limits and does not insure products manufactured, sold, handled, distributed, or disposed of after closing.</w:t>
      </w:r>
    </w:p>
    <w:p>
      <w:pPr>
        <w:pStyle w:val="ListBullet"/>
      </w:pPr>
      <w:r>
        <w:rPr>
          <w:sz w:val="18"/>
        </w:rPr>
        <w:t xml:space="preserve">Where a contract is silent on internal reorganizations or affiliate transfers, do not assume a safe harbor. Seek written waivers, consents, endorsements, or confirmations where practicable.</w:t>
      </w:r>
    </w:p>
    <w:p>
      <w:pPr>
        <w:pStyle w:val="Heading1"/>
      </w:pPr>
      <w:r>
        <w:rPr>
          <w:b/>
          <w:color w:val="1F4E79"/>
          <w:sz w:val="32"/>
        </w:rPr>
        <w:t xml:space="preserve">4. Scope and Methodology</w:t>
      </w:r>
    </w:p>
    <w:p>
      <w:pPr/>
      <w:r>
        <w:rPr>
          <w:sz w:val="20"/>
        </w:rPr>
        <w:t xml:space="preserve">The review covered every .txt file in the documents directory: eight documents in total. Findings are based solely on the supplied contract text. Section and article references are used because reliable page numbering was not available in the extracted text. “No express clause identified” means that no operative conventional change-of-control provision was identified in the supplied text; it does not eliminate risk under assignment, delegation, merger, termination, or other provisions.</w:t>
      </w:r>
    </w:p>
    <w:p>
      <w:pPr>
        <w:r>
          <w:br w:type="page"/>
        </w:r>
      </w:pPr>
      <w:r>
        <w:rPr>
          <w:sz w:val="20"/>
        </w:rPr>
        <w:t xml:space="preserve"/>
      </w:r>
    </w:p>
    <w:p>
      <w:pPr>
        <w:pStyle w:val="Heading1"/>
      </w:pPr>
      <w:r>
        <w:rPr>
          <w:b/>
          <w:color w:val="1F4E79"/>
          <w:sz w:val="32"/>
        </w:rPr>
        <w:t xml:space="preserve">5. Apex Kenji Jv Agreement</w:t>
      </w:r>
    </w:p>
    <w:p>
      <w:pPr/>
      <w:r>
        <w:rPr>
          <w:i/>
          <w:color w:val="666666"/>
          <w:sz w:val="18"/>
        </w:rPr>
        <w:t xml:space="preserve">Source file: apex-kenji-jv-agreement.docx.txt</w:t>
      </w:r>
    </w:p>
    <w:p>
      <w:pPr/>
      <w:r>
        <w:rPr>
          <w:sz w:val="18"/>
        </w:rPr>
        <w:t xml:space="preserve">DOCUMENT / PARTIES / TERM</w:t>
      </w:r>
    </w:p>
    <w:p>
      <w:pPr/>
      <w:r>
        <w:rPr>
          <w:sz w:val="18"/>
        </w:rPr>
        <w:t xml:space="preserve">Joint Venture Agreement of Apex-Kenji Precision JV, LLC, a Delaware limited liability company, dated April 3, 2017. Parties are Apex Industrial Technologies, Inc. (“Apex”), holding 55%, and Kenji Valve Co., Ltd. (“Kenji”), holding 45%. The Company has perpetual existence until dissolution and winding up under Article XIII.</w:t>
      </w:r>
    </w:p>
    <w:p>
      <w:pPr/>
      <w:r>
        <w:rPr>
          <w:sz w:val="18"/>
        </w:rPr>
        <w:t xml:space="preserve">EXPRESS CHANGE-OF-CONTROL CLAUSE (quote or close paraphrase and section)</w:t>
      </w:r>
    </w:p>
    <w:p>
      <w:pPr/>
      <w:r>
        <w:rPr>
          <w:sz w:val="18"/>
        </w:rPr>
        <w:t xml:space="preserve">Article XII contains express change-of-control provisions. “Change of Control” means, with respect to a Member, the direct or indirect acquisition by a person or group, other than the Member’s existing Affiliates as of the Effective Date, of 50% or more of the Member’s voting equity, whether by purchase, merger, consolidation, recapitalization, reorganization, or otherwise, or any transaction or related transactions resulting in a change in the power to direct the Member’s management and policies (Article I).</w:t>
      </w:r>
    </w:p>
    <w:p>
      <w:pPr/>
      <w:r>
        <w:rPr>
          <w:sz w:val="18"/>
        </w:rPr>
        <w:t xml:space="preserve">Under Section 12.2, a Member’s Change of Control “shall not be deemed a Transfer” of its Company Membership Interest and does not require the other Member’s consent under Section 11.1, but remains subject to the buy-out option in Section 12.3.</w:t>
      </w:r>
    </w:p>
    <w:p>
      <w:pPr/>
      <w:r>
        <w:rPr>
          <w:sz w:val="18"/>
        </w:rPr>
        <w:t xml:space="preserve">TRIGGERS AND THRESHOLDS</w:t>
      </w:r>
    </w:p>
    <w:p>
      <w:pPr>
        <w:pStyle w:val="ListBullet"/>
      </w:pPr>
      <w:r>
        <w:rPr>
          <w:sz w:val="18"/>
        </w:rPr>
        <w:t xml:space="preserve">Direct or indirect acquisition of 50% or more of a Member’s issued and outstanding voting equity.</w:t>
      </w:r>
    </w:p>
    <w:p>
      <w:pPr>
        <w:pStyle w:val="ListBullet"/>
      </w:pPr>
      <w:r>
        <w:rPr>
          <w:sz w:val="18"/>
        </w:rPr>
        <w:t xml:space="preserve">Acquisition may occur through purchase, merger, consolidation, recapitalization, reorganization, or otherwise.</w:t>
      </w:r>
    </w:p>
    <w:p>
      <w:pPr>
        <w:pStyle w:val="ListBullet"/>
      </w:pPr>
      <w:r>
        <w:rPr>
          <w:sz w:val="18"/>
        </w:rPr>
        <w:t xml:space="preserve">A transaction or series of related transactions that changes the power to direct or cause the direction of the Member’s management and policies may trigger the definition even apart from a 50% equity acquisition.</w:t>
      </w:r>
    </w:p>
    <w:p>
      <w:pPr>
        <w:pStyle w:val="ListBullet"/>
      </w:pPr>
      <w:r>
        <w:rPr>
          <w:sz w:val="18"/>
        </w:rPr>
        <w:t xml:space="preserve">Acquisitions by the Member’s existing Affiliates as of April 3, 2017 are excluded from the definition of Change of Control.</w:t>
      </w:r>
    </w:p>
    <w:p>
      <w:pPr>
        <w:pStyle w:val="ListBullet"/>
      </w:pPr>
      <w:r>
        <w:rPr>
          <w:sz w:val="18"/>
        </w:rPr>
        <w:t xml:space="preserve">If either Member undergoes a Change of Control, the other Member may purchase all, but not less than all, of the affected Member’s Membership Interest.</w:t>
      </w:r>
    </w:p>
    <w:p>
      <w:pPr>
        <w:pStyle w:val="ListBullet"/>
      </w:pPr>
      <w:r>
        <w:rPr>
          <w:sz w:val="18"/>
        </w:rPr>
        <w:t xml:space="preserve">The successor-entity carve-out applies only if both conditions are satisfied: (i) the successor commits in writing within 30 days after consummation to retain the affected Member’s CEO and CTO, at minimum, for at least 18 months; and (ii) the successor’s consolidated annual revenue from fluid control products exceeds $500 million based on its most recent audited annual financial statements as of consummation.</w:t>
      </w:r>
    </w:p>
    <w:p>
      <w:pPr/>
      <w:r>
        <w:rPr>
          <w:sz w:val="18"/>
        </w:rPr>
        <w:t xml:space="preserve">NOTICE / CONSENT / APPROVAL</w:t>
      </w:r>
    </w:p>
    <w:p>
      <w:pPr>
        <w:pStyle w:val="ListBullet"/>
      </w:pPr>
      <w:r>
        <w:rPr>
          <w:sz w:val="18"/>
        </w:rPr>
        <w:t xml:space="preserve">The affected Member must provide notice promptly, and no later than 10 business days after execution of a definitive Change-of-Control agreement.</w:t>
      </w:r>
    </w:p>
    <w:p>
      <w:pPr>
        <w:pStyle w:val="ListBullet"/>
      </w:pPr>
      <w:r>
        <w:rPr>
          <w:sz w:val="18"/>
        </w:rPr>
        <w:t xml:space="preserve">A second notice is required within 5 business days after consummation.</w:t>
      </w:r>
    </w:p>
    <w:p>
      <w:pPr>
        <w:pStyle w:val="ListBullet"/>
      </w:pPr>
      <w:r>
        <w:rPr>
          <w:sz w:val="18"/>
        </w:rPr>
        <w:t xml:space="preserve">Notice must identify the transaction, acquiring person or persons, and expected or actual consummation date.</w:t>
      </w:r>
    </w:p>
    <w:p>
      <w:pPr>
        <w:pStyle w:val="ListBullet"/>
      </w:pPr>
      <w:r>
        <w:rPr>
          <w:sz w:val="18"/>
        </w:rPr>
        <w:t xml:space="preserve">The Change of Control itself does not require the non-affected Member’s consent under Section 11.1.</w:t>
      </w:r>
    </w:p>
    <w:p>
      <w:pPr>
        <w:pStyle w:val="ListBullet"/>
      </w:pPr>
      <w:r>
        <w:rPr>
          <w:sz w:val="18"/>
        </w:rPr>
        <w:t xml:space="preserve">The non-affected Member must exercise the buy-out option by written notice within 90 days after receiving the notice of consummation.</w:t>
      </w:r>
    </w:p>
    <w:p>
      <w:pPr>
        <w:pStyle w:val="ListBullet"/>
      </w:pPr>
      <w:r>
        <w:rPr>
          <w:sz w:val="18"/>
        </w:rPr>
        <w:t xml:space="preserve">The buy-out closing must occur within 60 days after the exercise notice.</w:t>
      </w:r>
    </w:p>
    <w:p>
      <w:pPr>
        <w:pStyle w:val="ListBullet"/>
      </w:pPr>
      <w:r>
        <w:rPr>
          <w:sz w:val="18"/>
        </w:rPr>
        <w:t xml:space="preserve">If there is a dispute over EBITDA or the Buy-Out Price, the Members must agree on an independent nationally recognized accounting firm, or, if they do not agree within 15 days, the American Arbitration Association selects the firm.</w:t>
      </w:r>
    </w:p>
    <w:p>
      <w:pPr/>
      <w:r>
        <w:rPr>
          <w:sz w:val="18"/>
        </w:rPr>
        <w:t xml:space="preserve">CONSEQUENCES</w:t>
      </w:r>
    </w:p>
    <w:p>
      <w:pPr>
        <w:pStyle w:val="ListBullet"/>
      </w:pPr>
      <w:r>
        <w:rPr>
          <w:sz w:val="18"/>
        </w:rPr>
        <w:t xml:space="preserve">The non-affected Member may purchase the affected Member’s entire Membership Interest.</w:t>
      </w:r>
    </w:p>
    <w:p>
      <w:pPr>
        <w:pStyle w:val="ListBullet"/>
      </w:pPr>
      <w:r>
        <w:rPr>
          <w:sz w:val="18"/>
        </w:rPr>
        <w:t xml:space="preserve">The Buy-Out Price equals 4.5 times the Company’s trailing twelve-month EBITDA as of the last day of the most recently completed Fiscal Year preceding the exercise notice.</w:t>
      </w:r>
    </w:p>
    <w:p>
      <w:pPr>
        <w:pStyle w:val="ListBullet"/>
      </w:pPr>
      <w:r>
        <w:rPr>
          <w:sz w:val="18"/>
        </w:rPr>
        <w:t xml:space="preserve">The price applies to the affected Member’s entire Membership Interest regardless of that Member’s percentage interest.</w:t>
      </w:r>
    </w:p>
    <w:p>
      <w:pPr>
        <w:pStyle w:val="ListBullet"/>
      </w:pPr>
      <w:r>
        <w:rPr>
          <w:sz w:val="18"/>
        </w:rPr>
        <w:t xml:space="preserve">The price is payable in cash at closing by wire transfer in immediately available funds.</w:t>
      </w:r>
    </w:p>
    <w:p>
      <w:pPr>
        <w:pStyle w:val="ListBullet"/>
      </w:pPr>
      <w:r>
        <w:rPr>
          <w:sz w:val="18"/>
        </w:rPr>
        <w:t xml:space="preserve">The affected Member must deliver an assignment of its entire Membership Interest, transfer documentation, and customary title representations and warranties.</w:t>
      </w:r>
    </w:p>
    <w:p>
      <w:pPr>
        <w:pStyle w:val="ListBullet"/>
      </w:pPr>
      <w:r>
        <w:rPr>
          <w:sz w:val="18"/>
        </w:rPr>
        <w:t xml:space="preserve">If the Buy-Out Option is not exercised, the affected Member’s obligations remain in force and bind the successor entity.</w:t>
      </w:r>
    </w:p>
    <w:p>
      <w:pPr>
        <w:pStyle w:val="ListBullet"/>
      </w:pPr>
      <w:r>
        <w:rPr>
          <w:sz w:val="18"/>
        </w:rPr>
        <w:t xml:space="preserve">The successor entity must execute a joinder agreeing to be bound by the Agreement within 30 days after consummation.</w:t>
      </w:r>
    </w:p>
    <w:p>
      <w:pPr>
        <w:pStyle w:val="ListBullet"/>
      </w:pPr>
      <w:r>
        <w:rPr>
          <w:sz w:val="18"/>
        </w:rPr>
        <w:t xml:space="preserve">Any independent accounting determination is final and binding; costs are shared equally.</w:t>
      </w:r>
    </w:p>
    <w:p>
      <w:pPr>
        <w:pStyle w:val="ListBullet"/>
      </w:pPr>
      <w:r>
        <w:rPr>
          <w:sz w:val="18"/>
        </w:rPr>
        <w:t xml:space="preserve">A Change of Control does not itself terminate the Agreement, the affected Member’s obligations, or the affected Member’s Membership Interest.</w:t>
      </w:r>
    </w:p>
    <w:p>
      <w:pPr/>
      <w:r>
        <w:rPr>
          <w:sz w:val="18"/>
        </w:rPr>
        <w:t xml:space="preserve">EXCEPTIONS / CARVE-OUTS</w:t>
      </w:r>
    </w:p>
    <w:p>
      <w:pPr>
        <w:pStyle w:val="ListBullet"/>
      </w:pPr>
      <w:r>
        <w:rPr>
          <w:sz w:val="18"/>
        </w:rPr>
        <w:t xml:space="preserve">Existing Affiliates of a Member as of the Effective Date are excluded from the Change-of-Control definition.</w:t>
      </w:r>
    </w:p>
    <w:p>
      <w:pPr>
        <w:pStyle w:val="ListBullet"/>
      </w:pPr>
      <w:r>
        <w:rPr>
          <w:sz w:val="18"/>
        </w:rPr>
        <w:t xml:space="preserve">A Change of Control is not treated as a Transfer requiring consent under Article XI.</w:t>
      </w:r>
    </w:p>
    <w:p>
      <w:pPr>
        <w:pStyle w:val="ListBullet"/>
      </w:pPr>
      <w:r>
        <w:rPr>
          <w:sz w:val="18"/>
        </w:rPr>
        <w:t xml:space="preserve">The Buy-Out Option is unavailable if both successor-entity conditions in Section 12.3(b) are met: written commitment within 30 days to retain at least the CEO and CTO for 18 months, and fluid-control-product revenue exceeding $500 million.</w:t>
      </w:r>
    </w:p>
    <w:p>
      <w:pPr>
        <w:pStyle w:val="ListBullet"/>
      </w:pPr>
      <w:r>
        <w:rPr>
          <w:sz w:val="18"/>
        </w:rPr>
        <w:t xml:space="preserve">A Transfer of Membership Interests to a wholly owned Affiliate is permitted without consent if the transferring Member guarantees the transferee’s obligations and the transferee executes a joinder.</w:t>
      </w:r>
    </w:p>
    <w:p>
      <w:pPr>
        <w:pStyle w:val="ListBullet"/>
      </w:pPr>
      <w:r>
        <w:rPr>
          <w:sz w:val="18"/>
        </w:rPr>
        <w:t xml:space="preserve">Apex’s transfer of a majority of its Membership Interest to a third party, other than to an Affiliate under Section 11.2, gives Kenji a tag-along right. Apex must provide at least 30 days’ prior written notice, and Kenji may require the purchaser to acquire Kenji’s interest on the same terms, pro rata.</w:t>
      </w:r>
    </w:p>
    <w:p>
      <w:pPr>
        <w:pStyle w:val="ListBullet"/>
      </w:pPr>
      <w:r>
        <w:rPr>
          <w:sz w:val="18"/>
        </w:rPr>
        <w:t xml:space="preserve">A proposed Membership Interest Transfer other than to a permitted transferee is subject to Kenji’s or Apex’s 60-day right of first refusal, as applicable.</w:t>
      </w:r>
    </w:p>
    <w:p>
      <w:pPr/>
      <w:r>
        <w:rPr>
          <w:sz w:val="18"/>
        </w:rPr>
        <w:t xml:space="preserve">ASSIGNMENT / TRANSFER / MERGER LANGUAGE</w:t>
      </w:r>
    </w:p>
    <w:p>
      <w:pPr>
        <w:pStyle w:val="ListBullet"/>
      </w:pPr>
      <w:r>
        <w:rPr>
          <w:sz w:val="18"/>
        </w:rPr>
        <w:t xml:space="preserve">“Transfer” includes any direct or indirect sale, assignment, pledge, encumbrance, hypothecation, gift, or other disposition of all or part of a Membership Interest, voluntarily, involuntarily, by operation of law, or otherwise.</w:t>
      </w:r>
    </w:p>
    <w:p>
      <w:pPr>
        <w:pStyle w:val="ListBullet"/>
      </w:pPr>
      <w:r>
        <w:rPr>
          <w:sz w:val="18"/>
        </w:rPr>
        <w:t xml:space="preserve">No Member may Transfer any Membership Interest without the other Member’s prior written consent, which may be withheld in the other Member’s sole and absolute discretion, except for permitted Affiliate Transfers and the right-of-first-refusal process.</w:t>
      </w:r>
    </w:p>
    <w:p>
      <w:pPr>
        <w:pStyle w:val="ListBullet"/>
      </w:pPr>
      <w:r>
        <w:rPr>
          <w:sz w:val="18"/>
        </w:rPr>
        <w:t xml:space="preserve">A Change of Control of a Member is expressly excluded from the Article XI Transfer restriction and instead governed by Article XII.</w:t>
      </w:r>
    </w:p>
    <w:p>
      <w:pPr>
        <w:pStyle w:val="ListBullet"/>
      </w:pPr>
      <w:r>
        <w:rPr>
          <w:sz w:val="18"/>
        </w:rPr>
        <w:t xml:space="preserve">The Change-of-Control definition expressly includes mergers, consolidations, recapitalizations, and reorganizations involving a Member.</w:t>
      </w:r>
    </w:p>
    <w:p>
      <w:pPr>
        <w:pStyle w:val="ListBullet"/>
      </w:pPr>
      <w:r>
        <w:rPr>
          <w:sz w:val="18"/>
        </w:rPr>
        <w:t xml:space="preserve">A merger, consolidation, or other business combination of the Company requires unanimous approval of all five Managers as a Reserved Matter under Section 6.3(g).</w:t>
      </w:r>
    </w:p>
    <w:p>
      <w:pPr>
        <w:pStyle w:val="ListBullet"/>
      </w:pPr>
      <w:r>
        <w:rPr>
          <w:sz w:val="18"/>
        </w:rPr>
        <w:t xml:space="preserve">A sale, lease, exchange, or other disposition of all or substantially all of the Company’s assets also requires unanimous approval of all five Managers under Section 6.3(e).</w:t>
      </w:r>
    </w:p>
    <w:p>
      <w:pPr>
        <w:pStyle w:val="ListBullet"/>
      </w:pPr>
      <w:r>
        <w:rPr>
          <w:sz w:val="18"/>
        </w:rPr>
        <w:t xml:space="preserve">The Agreement does not otherwise contain a general provision expressly requiring consent to a merger or sale of assets of a Member, apart from the Change-of-Control definition and Membership Interest transfer restrictions.</w:t>
      </w:r>
    </w:p>
    <w:p>
      <w:pPr/>
      <w:r>
        <w:rPr>
          <w:sz w:val="18"/>
        </w:rPr>
        <w:t xml:space="preserve">STOCK DEAL RISK</w:t>
      </w:r>
    </w:p>
    <w:p>
      <w:pPr/>
      <w:r>
        <w:rPr>
          <w:sz w:val="18"/>
        </w:rPr>
        <w:t xml:space="preserve">A stock acquisition of 50% or more of either Member’s voting equity, and potentially a transaction changing management control even below that threshold, can trigger the Article XII buy-out mechanism. Consent is not required, so the transaction may proceed while exposing the acquired Member’s JV interest to a forced-sale option.</w:t>
      </w:r>
    </w:p>
    <w:p>
      <w:pPr/>
      <w:r>
        <w:rPr>
          <w:sz w:val="18"/>
        </w:rPr>
        <w:t xml:space="preserve">The principal economic risk is that the non-affected Member can acquire the entire JV interest at 4.5x the Company’s trailing twelve-month EBITDA measured by reference to the most recently completed Fiscal Year before exercise, payable entirely in cash within 60 days after exercise. The formula applies regardless of whether the affected Member owns 55% or 45%, and may not reflect fair market value or a control premium.</w:t>
      </w:r>
    </w:p>
    <w:p>
      <w:pPr/>
      <w:r>
        <w:rPr>
          <w:sz w:val="18"/>
        </w:rPr>
        <w:t xml:space="preserve">The successor must continue to perform the affected Member’s obligations and deliver a joinder within 30 days. Failure to satisfy either successor-entity carve-out condition leaves the Buy-Out Option fully exercisable.</w:t>
      </w:r>
    </w:p>
    <w:p>
      <w:pPr/>
      <w:r>
        <w:rPr>
          <w:sz w:val="18"/>
        </w:rPr>
        <w:t xml:space="preserve">ASSET DEAL RISK</w:t>
      </w:r>
    </w:p>
    <w:p>
      <w:pPr/>
      <w:r>
        <w:rPr>
          <w:sz w:val="18"/>
        </w:rPr>
        <w:t xml:space="preserve">A sale of operating assets by a Member is not expressly defined as a Change of Control or Transfer of the Member’s Membership Interest. It could nevertheless create risk if the transaction changes the power to direct the Member’s management and policies, which independently falls within the Change-of-Control definition.</w:t>
      </w:r>
    </w:p>
    <w:p>
      <w:pPr/>
      <w:r>
        <w:rPr>
          <w:sz w:val="18"/>
        </w:rPr>
        <w:t xml:space="preserve">A sale or disposition of all or substantially all assets of the Company requires unanimous approval of all five Managers. Because Apex designates three Managers and Kenji designates two, both Members’ appointed Managers would be required to approve that transaction. A Company merger or other business combination similarly requires unanimous Manager approval.</w:t>
      </w:r>
    </w:p>
    <w:p>
      <w:pPr/>
      <w:r>
        <w:rPr>
          <w:sz w:val="18"/>
        </w:rPr>
        <w:t xml:space="preserve">The Agreement states that Member-contributed intellectual property remains owned by the contributing Member, and Company license rights terminate upon dissolution of the Company or termination of the Agreement. The supplied text does not otherwise specify the effect of a Member asset sale on those licenses.</w:t>
      </w:r>
    </w:p>
    <w:p>
      <w:pPr/>
      <w:r>
        <w:rPr>
          <w:sz w:val="18"/>
        </w:rPr>
        <w:t xml:space="preserve">MITIGATION</w:t>
      </w:r>
    </w:p>
    <w:p>
      <w:pPr>
        <w:pStyle w:val="ListBullet"/>
      </w:pPr>
      <w:r>
        <w:rPr>
          <w:sz w:val="18"/>
        </w:rPr>
        <w:t xml:space="preserve">Obtain and calendar the 10-business-day and 5-business-day Change-of-Control notice deadlines and the 90-day buy-out election period.</w:t>
      </w:r>
    </w:p>
    <w:p>
      <w:pPr>
        <w:pStyle w:val="ListBullet"/>
      </w:pPr>
      <w:r>
        <w:rPr>
          <w:sz w:val="18"/>
        </w:rPr>
        <w:t xml:space="preserve">Model the potential cash buy-out exposure using the 4.5x EBITDA formula and confirm the applicable Fiscal Year and EBITDA calculation.</w:t>
      </w:r>
    </w:p>
    <w:p>
      <w:pPr>
        <w:pStyle w:val="ListBullet"/>
      </w:pPr>
      <w:r>
        <w:rPr>
          <w:sz w:val="18"/>
        </w:rPr>
        <w:t xml:space="preserve">Analyze whether the proposed transaction changes management or policy-direction power even if voting ownership remains below 50%.</w:t>
      </w:r>
    </w:p>
    <w:p>
      <w:pPr>
        <w:pStyle w:val="ListBullet"/>
      </w:pPr>
      <w:r>
        <w:rPr>
          <w:sz w:val="18"/>
        </w:rPr>
        <w:t xml:space="preserve">Determine whether the buyer can satisfy both successor-entity carve-out conditions, including the $500 million fluid-control revenue threshold and 18-month CEO/CTO retention commitment.</w:t>
      </w:r>
    </w:p>
    <w:p>
      <w:pPr>
        <w:pStyle w:val="ListBullet"/>
      </w:pPr>
      <w:r>
        <w:rPr>
          <w:sz w:val="18"/>
        </w:rPr>
        <w:t xml:space="preserve">Require the successor entity to execute the required joinder within 30 days and preserve all affected Member obligations.</w:t>
      </w:r>
    </w:p>
    <w:p>
      <w:pPr>
        <w:pStyle w:val="ListBullet"/>
      </w:pPr>
      <w:r>
        <w:rPr>
          <w:sz w:val="18"/>
        </w:rPr>
        <w:t xml:space="preserve">Review and document the status of all Member-to-Company technology licenses and distribution rights, particularly in connection with any asset transaction, dissolution, or termination.</w:t>
      </w:r>
    </w:p>
    <w:p>
      <w:pPr>
        <w:pStyle w:val="ListBullet"/>
      </w:pPr>
      <w:r>
        <w:rPr>
          <w:sz w:val="18"/>
        </w:rPr>
        <w:t xml:space="preserve">For a Membership Interest acquisition, evaluate the applicable right-of-first-refusal, tag-along, and permitted-Affiliate transfer provisions and the required notices and consents.</w:t>
      </w:r>
    </w:p>
    <w:p>
      <w:pPr>
        <w:pStyle w:val="ListBullet"/>
      </w:pPr>
      <w:r>
        <w:rPr>
          <w:sz w:val="18"/>
        </w:rPr>
        <w:t xml:space="preserve">For a Company-level asset sale or merger, confirm unanimous approval of all five Managers before signing or closing.</w:t>
      </w:r>
    </w:p>
    <w:p>
      <w:pPr>
        <w:r>
          <w:br w:type="page"/>
        </w:r>
      </w:pPr>
      <w:r>
        <w:rPr>
          <w:sz w:val="20"/>
        </w:rPr>
        <w:t xml:space="preserve"/>
      </w:r>
    </w:p>
    <w:p>
      <w:pPr>
        <w:pStyle w:val="Heading1"/>
      </w:pPr>
      <w:r>
        <w:rPr>
          <w:b/>
          <w:color w:val="1F4E79"/>
          <w:sz w:val="32"/>
        </w:rPr>
        <w:t xml:space="preserve">6. Credit Agreement Summit</w:t>
      </w:r>
    </w:p>
    <w:p>
      <w:pPr/>
      <w:r>
        <w:rPr>
          <w:i/>
          <w:color w:val="666666"/>
          <w:sz w:val="18"/>
        </w:rPr>
        <w:t xml:space="preserve">Source file: credit-agreement-summit.docx.txt</w:t>
      </w:r>
    </w:p>
    <w:p>
      <w:pPr/>
      <w:r>
        <w:rPr>
          <w:sz w:val="18"/>
        </w:rPr>
        <w:t xml:space="preserve">DOCUMENT / PARTIES / TERM</w:t>
      </w:r>
    </w:p>
    <w:p>
      <w:pPr/>
      <w:r>
        <w:rPr>
          <w:sz w:val="18"/>
        </w:rPr>
        <w:t xml:space="preserve">Credit Agreement dated September 22, 2022, among Apex Industrial Technologies, Inc. as Borrower, Summit National Bank, N.A. as Administrative Agent and 60% Lender, and Ridgeline Commercial Credit Corp. as 40% Lender. Revolving facility: $75,000,000, of which $42,500,000 was outstanding as of the effective date. Maturity Date: September 22, 2027.</w:t>
      </w:r>
    </w:p>
    <w:p>
      <w:pPr/>
      <w:r>
        <w:rPr>
          <w:sz w:val="18"/>
        </w:rPr>
        <w:t xml:space="preserve">EXPRESS CHANGE-OF-CONTROL CLAUSE (quote or close paraphrase and section)</w:t>
      </w:r>
    </w:p>
    <w:p>
      <w:pPr/>
      <w:r>
        <w:rPr>
          <w:sz w:val="18"/>
        </w:rPr>
        <w:t xml:space="preserve">Section 1.01 defines “Change of Control” as either: (a) any person or group acquiring, directly or indirectly, beneficial ownership of more than 50% of the Borrower’s outstanding Voting Stock; or (b) the Borrower ceasing to own, directly or indirectly, 100% of the Equity Interests of each Subsidiary, except that the Borrower must maintain at least a 51% interest in Apex-Kenji Precision JV, LLC.</w:t>
      </w:r>
    </w:p>
    <w:p>
      <w:pPr/>
      <w:r>
        <w:rPr>
          <w:sz w:val="18"/>
        </w:rPr>
        <w:t xml:space="preserve">Section 2.09(d) provides that, upon a Change of Control, the Borrower must, within 30 days, prepay all outstanding Revolving Loans in full, with accrued and unpaid interest and other amounts then due, and all Commitments automatically terminate.</w:t>
      </w:r>
    </w:p>
    <w:p>
      <w:pPr/>
      <w:r>
        <w:rPr>
          <w:sz w:val="18"/>
        </w:rPr>
        <w:t xml:space="preserve">The Agreement separately defines “Change in Control” in Section 8.01(j) as an Event of Default if any person or group acquires more than 35% of the Borrower’s Voting Stock, or if the specified incumbent Board majority ceases to constitute a majority.</w:t>
      </w:r>
    </w:p>
    <w:p>
      <w:pPr/>
      <w:r>
        <w:rPr>
          <w:sz w:val="18"/>
        </w:rPr>
        <w:t xml:space="preserve">TRIGGERS AND THRESHOLDS</w:t>
      </w:r>
    </w:p>
    <w:p>
      <w:pPr>
        <w:pStyle w:val="ListBullet"/>
      </w:pPr>
      <w:r>
        <w:rPr>
          <w:sz w:val="18"/>
        </w:rPr>
        <w:t xml:space="preserve">Change of Control: acquisition of more than 50% of outstanding Voting Stock.</w:t>
      </w:r>
    </w:p>
    <w:p>
      <w:pPr>
        <w:pStyle w:val="ListBullet"/>
      </w:pPr>
      <w:r>
        <w:rPr>
          <w:sz w:val="18"/>
        </w:rPr>
        <w:t xml:space="preserve">Subsidiary ownership trigger: loss of 100% ownership of any Subsidiary, except the Apex-Kenji Precision JV, LLC, where ownership may not fall below 51%.</w:t>
      </w:r>
    </w:p>
    <w:p>
      <w:pPr>
        <w:pStyle w:val="ListBullet"/>
      </w:pPr>
      <w:r>
        <w:rPr>
          <w:sz w:val="18"/>
        </w:rPr>
        <w:t xml:space="preserve">Separate Change in Control/Event of Default: acquisition of more than 35% of Voting Stock or loss of the specified incumbent Board majority.</w:t>
      </w:r>
    </w:p>
    <w:p>
      <w:pPr>
        <w:pStyle w:val="ListBullet"/>
      </w:pPr>
      <w:r>
        <w:rPr>
          <w:sz w:val="18"/>
        </w:rPr>
        <w:t xml:space="preserve">“Control” generally includes ownership of 10% or more of Voting Stock or the power to direct management and policies.</w:t>
      </w:r>
    </w:p>
    <w:p>
      <w:pPr>
        <w:pStyle w:val="ListBullet"/>
      </w:pPr>
      <w:r>
        <w:rPr>
          <w:sz w:val="18"/>
        </w:rPr>
        <w:t xml:space="preserve">Fundamental changes are generally prohibited, including mergers, consolidations, liquidation, dissolution, and sales of all or substantially all assets, subject to Section 6.03 exceptions.</w:t>
      </w:r>
    </w:p>
    <w:p>
      <w:pPr>
        <w:pStyle w:val="ListBullet"/>
      </w:pPr>
      <w:r>
        <w:rPr>
          <w:sz w:val="18"/>
        </w:rPr>
        <w:t xml:space="preserve">Asset dispositions are limited to ordinary-course inventory sales, obsolete or worn-out equipment, and other dispositions with aggregate fair market value not exceeding $2,500,000 in any fiscal year.</w:t>
      </w:r>
    </w:p>
    <w:p>
      <w:pPr>
        <w:pStyle w:val="ListBullet"/>
      </w:pPr>
      <w:r>
        <w:rPr>
          <w:sz w:val="18"/>
        </w:rPr>
        <w:t xml:space="preserve">Net Cash Proceeds from non-ordinary-course asset sales exceeding $2,500,000 in the aggregate in a fiscal year must be applied 100% to Revolving Loans, subject to the reinvestment exception below.</w:t>
      </w:r>
    </w:p>
    <w:p>
      <w:pPr/>
      <w:r>
        <w:rPr>
          <w:sz w:val="18"/>
        </w:rPr>
        <w:t xml:space="preserve">NOTICE / CONSENT / APPROVAL</w:t>
      </w:r>
    </w:p>
    <w:p>
      <w:pPr>
        <w:pStyle w:val="ListBullet"/>
      </w:pPr>
      <w:r>
        <w:rPr>
          <w:sz w:val="18"/>
        </w:rPr>
        <w:t xml:space="preserve">The Borrower must notify the Administrative Agent promptly, and in any event within five Business Days after becoming aware of a Change of Control. Section 5.07(c) separately requires notice of any Change of Control or Change in Control within five Business Days after a Responsible Officer obtains knowledge.</w:t>
      </w:r>
    </w:p>
    <w:p>
      <w:pPr>
        <w:pStyle w:val="ListBullet"/>
      </w:pPr>
      <w:r>
        <w:rPr>
          <w:sz w:val="18"/>
        </w:rPr>
        <w:t xml:space="preserve">No advance lender consent is expressly required for a transaction solely because it constitutes a Change of Control; however, the resulting mandatory prepayment and automatic commitment termination apply.</w:t>
      </w:r>
    </w:p>
    <w:p>
      <w:pPr>
        <w:pStyle w:val="ListBullet"/>
      </w:pPr>
      <w:r>
        <w:rPr>
          <w:sz w:val="18"/>
        </w:rPr>
        <w:t xml:space="preserve">Any amendment to the Change of Control definition, Change in Control definition, Section 2.09(d), or Section 8.01(j) requires the written consent of each Lender.</w:t>
      </w:r>
    </w:p>
    <w:p>
      <w:pPr>
        <w:pStyle w:val="ListBullet"/>
      </w:pPr>
      <w:r>
        <w:rPr>
          <w:sz w:val="18"/>
        </w:rPr>
        <w:t xml:space="preserve">The Borrower may not assign or transfer its rights or obligations under the Agreement without the prior written consent of all Lenders.</w:t>
      </w:r>
    </w:p>
    <w:p>
      <w:pPr>
        <w:pStyle w:val="ListBullet"/>
      </w:pPr>
      <w:r>
        <w:rPr>
          <w:sz w:val="18"/>
        </w:rPr>
        <w:t xml:space="preserve">A merger or similar transaction permitted under Section 6.03(c) requires the Borrower to be the surviving entity, no existing or resulting Default or Event of Default, and delivery of a compliance certificate and requested supporting documentation at least 10 Business Days before closing.</w:t>
      </w:r>
    </w:p>
    <w:p>
      <w:pPr>
        <w:pStyle w:val="ListBullet"/>
      </w:pPr>
      <w:r>
        <w:rPr>
          <w:sz w:val="18"/>
        </w:rPr>
        <w:t xml:space="preserve">Lender assignments generally require Administrative Agent consent and, while no Event of Default is continuing, Borrower consent; the Borrower is deemed to consent unless it objects within 10 Business Days after notice.</w:t>
      </w:r>
    </w:p>
    <w:p>
      <w:pPr/>
      <w:r>
        <w:rPr>
          <w:sz w:val="18"/>
        </w:rPr>
        <w:t xml:space="preserve">CONSEQUENCES</w:t>
      </w:r>
    </w:p>
    <w:p>
      <w:pPr>
        <w:pStyle w:val="ListBullet"/>
      </w:pPr>
      <w:r>
        <w:rPr>
          <w:sz w:val="18"/>
        </w:rPr>
        <w:t xml:space="preserve">For a Section 1.01 Change of Control, within 30 days the Borrower must pay 100% of outstanding Revolving Loans, accrued and unpaid interest, and other amounts then due. The Agreement states that the obligation is currently approximately $42,500,000 of principal, plus accrued interest and other amounts, but the amount will be the full outstanding balance at the time of the trigger. All Commitments automatically terminate.</w:t>
      </w:r>
    </w:p>
    <w:p>
      <w:pPr>
        <w:pStyle w:val="ListBullet"/>
      </w:pPr>
      <w:r>
        <w:rPr>
          <w:sz w:val="18"/>
        </w:rPr>
        <w:t xml:space="preserve">A Section 8.01(j) Change in Control is an Event of Default. During an Event of Default, the Administrative Agent may, and upon Required Lender direction shall, terminate Commitments and accelerate all Obligations immediately by written notice. Bankruptcy-related Events of Default cause automatic acceleration and commitment termination.</w:t>
      </w:r>
    </w:p>
    <w:p>
      <w:pPr>
        <w:pStyle w:val="ListBullet"/>
      </w:pPr>
      <w:r>
        <w:rPr>
          <w:sz w:val="18"/>
        </w:rPr>
        <w:t xml:space="preserve">Upon an Event of Default, Default Interest applies at the otherwise applicable rate plus 2.00% per annum, payable on demand.</w:t>
      </w:r>
    </w:p>
    <w:p>
      <w:pPr>
        <w:pStyle w:val="ListBullet"/>
      </w:pPr>
      <w:r>
        <w:rPr>
          <w:sz w:val="18"/>
        </w:rPr>
        <w:t xml:space="preserve">Failure to make required principal payments when due is an Event of Default with no stated cure period. Failure to pay interest, commitment fees, or other amounts has a three-Business-Day cure period.</w:t>
      </w:r>
    </w:p>
    <w:p>
      <w:pPr>
        <w:pStyle w:val="ListBullet"/>
      </w:pPr>
      <w:r>
        <w:rPr>
          <w:sz w:val="18"/>
        </w:rPr>
        <w:t xml:space="preserve">A qualifying asset disposition also requires prepayment of 100% of applicable Net Cash Proceeds within five Business Days after receipt. The Borrower may avoid that prepayment only by reinvesting within 365 days, or entering a binding commitment to reinvest within that period and completing the reinvestment within an additional 180 days, in assets useful in the business.</w:t>
      </w:r>
    </w:p>
    <w:p>
      <w:pPr>
        <w:pStyle w:val="ListBullet"/>
      </w:pPr>
      <w:r>
        <w:rPr>
          <w:sz w:val="18"/>
        </w:rPr>
        <w:t xml:space="preserve">A permitted merger or consolidation does not eliminate the separate Change of Control or Change in Control consequences.</w:t>
      </w:r>
    </w:p>
    <w:p>
      <w:pPr/>
      <w:r>
        <w:rPr>
          <w:sz w:val="18"/>
        </w:rPr>
        <w:t xml:space="preserve">EXCEPTIONS / CARVE-OUTS</w:t>
      </w:r>
    </w:p>
    <w:p>
      <w:pPr>
        <w:pStyle w:val="ListBullet"/>
      </w:pPr>
      <w:r>
        <w:rPr>
          <w:sz w:val="18"/>
        </w:rPr>
        <w:t xml:space="preserve">The Apex-Kenji Precision JV, LLC is carved out from the 100% Subsidiary ownership requirement, but the Borrower must retain at least 51%; its current ownership is 55%.</w:t>
      </w:r>
    </w:p>
    <w:p>
      <w:pPr>
        <w:pStyle w:val="ListBullet"/>
      </w:pPr>
      <w:r>
        <w:rPr>
          <w:sz w:val="18"/>
        </w:rPr>
        <w:t xml:space="preserve">A Subsidiary may merge into the Borrower with the Borrower surviving.</w:t>
      </w:r>
    </w:p>
    <w:p>
      <w:pPr>
        <w:pStyle w:val="ListBullet"/>
      </w:pPr>
      <w:r>
        <w:rPr>
          <w:sz w:val="18"/>
        </w:rPr>
        <w:t xml:space="preserve">A Subsidiary may merge into or consolidate with another Subsidiary.</w:t>
      </w:r>
    </w:p>
    <w:p>
      <w:pPr>
        <w:pStyle w:val="ListBullet"/>
      </w:pPr>
      <w:r>
        <w:rPr>
          <w:sz w:val="18"/>
        </w:rPr>
        <w:t xml:space="preserve">The Borrower may complete a merger, consolidation, or similar transaction if it survives, no Default or Event of Default exists or results, and the 10-Business-Day advance certification requirement is satisfied.</w:t>
      </w:r>
    </w:p>
    <w:p>
      <w:pPr>
        <w:pStyle w:val="ListBullet"/>
      </w:pPr>
      <w:r>
        <w:rPr>
          <w:sz w:val="18"/>
        </w:rPr>
        <w:t xml:space="preserve">The Agreement does not provide a general exception for a third-party acquisition of the Borrower, a change in Board control, or a transaction that triggers both definitions.</w:t>
      </w:r>
    </w:p>
    <w:p>
      <w:pPr>
        <w:pStyle w:val="ListBullet"/>
      </w:pPr>
      <w:r>
        <w:rPr>
          <w:sz w:val="18"/>
        </w:rPr>
        <w:t xml:space="preserve">Ordinary-course inventory sales and dispositions of obsolete or worn-out equipment are permitted; other asset dispositions are capped at $2,500,000 aggregate fair market value per fiscal year.</w:t>
      </w:r>
    </w:p>
    <w:p>
      <w:pPr/>
      <w:r>
        <w:rPr>
          <w:sz w:val="18"/>
        </w:rPr>
        <w:t xml:space="preserve">ASSIGNMENT / TRANSFER / MERGER LANGUAGE</w:t>
      </w:r>
    </w:p>
    <w:p>
      <w:pPr/>
      <w:r>
        <w:rPr>
          <w:sz w:val="18"/>
        </w:rPr>
        <w:t xml:space="preserve">Section 10.05 permits the Borrower’s successors and permitted assigns but prohibits the Borrower from assigning or transferring rights or obligations without prior written consent of all Lenders. Lenders may assign to Eligible Assignees, generally subject to Administrative Agent consent and, absent a continuing Event of Default, Borrower consent, deemed granted if no objection is made within 10 Business Days. Minimum assignment amount is $5,000,000 unless the Lender transfers its entire remaining Commitment.</w:t>
      </w:r>
    </w:p>
    <w:p>
      <w:pPr/>
      <w:r>
        <w:rPr>
          <w:sz w:val="18"/>
        </w:rPr>
        <w:t xml:space="preserve">Section 6.03 prohibits mergers, consolidations, liquidation, dissolution, and sales of all or substantially all assets except for the specified Subsidiary transactions and a Borrower merger in which the Borrower survives, subject to the no-Default and 10-Business-Day certification requirements. Section 6.03 expressly preserves the application of the Change of Control and Change in Control provisions.</w:t>
      </w:r>
    </w:p>
    <w:p>
      <w:pPr/>
      <w:r>
        <w:rPr>
          <w:sz w:val="18"/>
        </w:rPr>
        <w:t xml:space="preserve">STOCK DEAL RISK</w:t>
      </w:r>
    </w:p>
    <w:p>
      <w:pPr/>
      <w:r>
        <w:rPr>
          <w:sz w:val="18"/>
        </w:rPr>
        <w:t xml:space="preserve">A purchase of more than 50% of the Borrower’s Voting Stock triggers the Section 1.01 Change of Control, requiring full repayment within 30 days and automatic termination of the $75,000,000 facility. A purchase exceeding 35% may independently trigger the Section 8.01(j) Change in Control Event of Default, even before the 50% threshold, with potential immediate acceleration and termination. Board replacement or loss of the specified incumbent Board majority may independently trigger the Event of Default. The Agreement contains no express stock-sale consent right, but lender consent would be required to amend or waive these provisions.</w:t>
      </w:r>
    </w:p>
    <w:p>
      <w:pPr/>
      <w:r>
        <w:rPr>
          <w:sz w:val="18"/>
        </w:rPr>
        <w:t xml:space="preserve">ASSET DEAL RISK</w:t>
      </w:r>
    </w:p>
    <w:p>
      <w:pPr/>
      <w:r>
        <w:rPr>
          <w:sz w:val="18"/>
        </w:rPr>
        <w:t xml:space="preserve">A sale of all or substantially all assets is prohibited under Section 6.03, subject only to the stated merger exceptions; the text does not provide a general asset-sale exception. Other asset dispositions are limited to $2,500,000 per fiscal year, subject to specified ordinary-course exceptions. Non-ordinary-course asset-sale proceeds exceeding that threshold require 100% mandatory prepayment within five Business Days unless timely reinvested under the 365-day/180-day provisions. A transaction transferring assets or Equity Interests of Subsidiaries could also cause the Subsidiary ownership limb of the Change of Control definition to be violated, unless the JV exception applies and ownership remains at least 51%.</w:t>
      </w:r>
    </w:p>
    <w:p>
      <w:pPr/>
      <w:r>
        <w:rPr>
          <w:sz w:val="18"/>
        </w:rPr>
        <w:t xml:space="preserve">MITIGATION</w:t>
      </w:r>
    </w:p>
    <w:p>
      <w:pPr>
        <w:pStyle w:val="ListBullet"/>
      </w:pPr>
      <w:r>
        <w:rPr>
          <w:sz w:val="18"/>
        </w:rPr>
        <w:t xml:space="preserve">Obtain lender review and, if necessary, written waivers or consents before signing or closing any transaction that could trigger either Change of Control definition, the fundamental-change covenant, or the Subsidiary ownership requirement.</w:t>
      </w:r>
    </w:p>
    <w:p>
      <w:pPr>
        <w:pStyle w:val="ListBullet"/>
      </w:pPr>
      <w:r>
        <w:rPr>
          <w:sz w:val="18"/>
        </w:rPr>
        <w:t xml:space="preserve">Structure any merger so the Borrower remains the surviving entity, maintain no Default or Event of Default, and deliver the required certification and documentation at least 10 Business Days before closing.</w:t>
      </w:r>
    </w:p>
    <w:p>
      <w:pPr>
        <w:pStyle w:val="ListBullet"/>
      </w:pPr>
      <w:r>
        <w:rPr>
          <w:sz w:val="18"/>
        </w:rPr>
        <w:t xml:space="preserve">Preserve at least 51% ownership of Apex-Kenji Precision JV, LLC and 100% ownership of other Subsidiaries unless lenders approve otherwise.</w:t>
      </w:r>
    </w:p>
    <w:p>
      <w:pPr>
        <w:pStyle w:val="ListBullet"/>
      </w:pPr>
      <w:r>
        <w:rPr>
          <w:sz w:val="18"/>
        </w:rPr>
        <w:t xml:space="preserve">Confirm funding for repayment of all outstanding Loans, accrued interest, fees, and other Obligations; current stated principal exposure is $42,500,000.</w:t>
      </w:r>
    </w:p>
    <w:p>
      <w:pPr>
        <w:pStyle w:val="ListBullet"/>
      </w:pPr>
      <w:r>
        <w:rPr>
          <w:sz w:val="18"/>
        </w:rPr>
        <w:t xml:space="preserve">Provide the required five-Business-Day notices and address the 30-day mandatory repayment deadline.</w:t>
      </w:r>
    </w:p>
    <w:p>
      <w:pPr>
        <w:pStyle w:val="ListBullet"/>
      </w:pPr>
      <w:r>
        <w:rPr>
          <w:sz w:val="18"/>
        </w:rPr>
        <w:t xml:space="preserve">For asset transactions, keep dispositions within permitted categories or thresholds, track annual proceeds, and document qualifying reinvestment within the applicable 365-day and additional 180-day periods.</w:t>
      </w:r>
    </w:p>
    <w:p>
      <w:pPr>
        <w:pStyle w:val="ListBullet"/>
      </w:pPr>
      <w:r>
        <w:rPr>
          <w:sz w:val="18"/>
        </w:rPr>
        <w:t xml:space="preserve">Review Material Contracts and other transaction-specific consents separately; the Agreement makes termination, rescission, or material breach of a Material Contract an Event of Default if reasonably expected to cause a Material Adverse Effect.</w:t>
      </w:r>
    </w:p>
    <w:p>
      <w:pPr>
        <w:r>
          <w:br w:type="page"/>
        </w:r>
      </w:pPr>
      <w:r>
        <w:rPr>
          <w:sz w:val="20"/>
        </w:rPr>
        <w:t xml:space="preserve"/>
      </w:r>
    </w:p>
    <w:p>
      <w:pPr>
        <w:pStyle w:val="Heading1"/>
      </w:pPr>
      <w:r>
        <w:rPr>
          <w:b/>
          <w:color w:val="1F4E79"/>
          <w:sz w:val="32"/>
        </w:rPr>
        <w:t xml:space="preserve">7. Hendricks License Agreement</w:t>
      </w:r>
    </w:p>
    <w:p>
      <w:pPr/>
      <w:r>
        <w:rPr>
          <w:i/>
          <w:color w:val="666666"/>
          <w:sz w:val="18"/>
        </w:rPr>
        <w:t xml:space="preserve">Source file: hendricks-license-agreement.docx.txt</w:t>
      </w:r>
    </w:p>
    <w:p>
      <w:pPr/>
      <w:r>
        <w:rPr>
          <w:sz w:val="18"/>
        </w:rPr>
        <w:t xml:space="preserve">DOCUMENT / PARTIES / TERM</w:t>
      </w:r>
    </w:p>
    <w:p>
      <w:pPr>
        <w:pStyle w:val="ListBullet"/>
      </w:pPr>
      <w:r>
        <w:rPr>
          <w:sz w:val="18"/>
        </w:rPr>
        <w:t xml:space="preserve">Technology License Agreement No. HAS-LIC-2020-0088, dated March 1, 2020.</w:t>
      </w:r>
    </w:p>
    <w:p>
      <w:pPr>
        <w:pStyle w:val="ListBullet"/>
      </w:pPr>
      <w:r>
        <w:rPr>
          <w:sz w:val="18"/>
        </w:rPr>
        <w:t xml:space="preserve">Licensor: Hendricks Automation Systems, Inc., a Massachusetts corporation.</w:t>
      </w:r>
    </w:p>
    <w:p>
      <w:pPr>
        <w:pStyle w:val="ListBullet"/>
      </w:pPr>
      <w:r>
        <w:rPr>
          <w:sz w:val="18"/>
        </w:rPr>
        <w:t xml:space="preserve">Licensee: Apex Industrial Technologies, Inc., a Delaware corporation.</w:t>
      </w:r>
    </w:p>
    <w:p>
      <w:pPr>
        <w:pStyle w:val="ListBullet"/>
      </w:pPr>
      <w:r>
        <w:rPr>
          <w:sz w:val="18"/>
        </w:rPr>
        <w:t xml:space="preserve">Term: March 1, 2020 through February 28, 2030, unless earlier terminated or renewed by mutual written agreement.</w:t>
      </w:r>
    </w:p>
    <w:p>
      <w:pPr/>
      <w:r>
        <w:rPr>
          <w:sz w:val="18"/>
        </w:rPr>
        <w:t xml:space="preserve">EXPRESS CHANGE-OF-CONTROL CLAUSE (quote or close paraphrase and section)</w:t>
      </w:r>
    </w:p>
    <w:p>
      <w:pPr>
        <w:pStyle w:val="ListBullet"/>
      </w:pPr>
      <w:r>
        <w:rPr>
          <w:sz w:val="18"/>
        </w:rPr>
        <w:t xml:space="preserve">Section 9.1: “Licensor shall have the right to terminate this Agreement immediately upon written notice to Licensee” if Licensee undergoes a Change of Control. Termination is at Licensor’s “sole and absolute discretion,” requires no prior notice period, cure period, or opportunity for Licensee to obtain consent, and is effective immediately upon delivery of the written notice.</w:t>
      </w:r>
    </w:p>
    <w:p>
      <w:pPr>
        <w:pStyle w:val="ListBullet"/>
      </w:pPr>
      <w:r>
        <w:rPr>
          <w:sz w:val="18"/>
        </w:rPr>
        <w:t xml:space="preserve">“Change of Control” is defined in Section 1.3 and includes mergers, consolidations, reorganizations, sales or dispositions of all or substantially all of Licensee’s assets, acquisition by any person or group of more than 50% of Licensee’s outstanding voting securities, and any transaction or related transactions changing the identity of the persons ultimately controlling Licensee. The definition expressly covers forward, reverse, and triangular mergers.</w:t>
      </w:r>
    </w:p>
    <w:p>
      <w:pPr/>
      <w:r>
        <w:rPr>
          <w:sz w:val="18"/>
        </w:rPr>
        <w:t xml:space="preserve">TRIGGERS AND THRESHOLDS</w:t>
      </w:r>
    </w:p>
    <w:p>
      <w:pPr>
        <w:pStyle w:val="ListBullet"/>
      </w:pPr>
      <w:r>
        <w:rPr>
          <w:sz w:val="18"/>
        </w:rPr>
        <w:t xml:space="preserve">Any merger, consolidation, or reorganization involving Apex, whether or not Apex survives.</w:t>
      </w:r>
    </w:p>
    <w:p>
      <w:pPr>
        <w:pStyle w:val="ListBullet"/>
      </w:pPr>
      <w:r>
        <w:rPr>
          <w:sz w:val="18"/>
        </w:rPr>
        <w:t xml:space="preserve">Sale, transfer, or other disposition of all or substantially all of Apex’s assets.</w:t>
      </w:r>
    </w:p>
    <w:p>
      <w:pPr>
        <w:pStyle w:val="ListBullet"/>
      </w:pPr>
      <w:r>
        <w:rPr>
          <w:sz w:val="18"/>
        </w:rPr>
        <w:t xml:space="preserve">Acquisition by any person or group of beneficial ownership of more than 50% of Apex’s outstanding voting securities.</w:t>
      </w:r>
    </w:p>
    <w:p>
      <w:pPr>
        <w:pStyle w:val="ListBullet"/>
      </w:pPr>
      <w:r>
        <w:rPr>
          <w:sz w:val="18"/>
        </w:rPr>
        <w:t xml:space="preserve">Any other transaction or series of related transactions resulting in a change in the identity of the persons ultimately controlling Apex.</w:t>
      </w:r>
    </w:p>
    <w:p>
      <w:pPr>
        <w:pStyle w:val="ListBullet"/>
      </w:pPr>
      <w:r>
        <w:rPr>
          <w:sz w:val="18"/>
        </w:rPr>
        <w:t xml:space="preserve">A Change of Control is deemed an assignment by operation of law under Section 10.1.</w:t>
      </w:r>
    </w:p>
    <w:p>
      <w:pPr/>
      <w:r>
        <w:rPr>
          <w:sz w:val="18"/>
        </w:rPr>
        <w:t xml:space="preserve">NOTICE / CONSENT / APPROVAL</w:t>
      </w:r>
    </w:p>
    <w:p>
      <w:pPr>
        <w:pStyle w:val="ListBullet"/>
      </w:pPr>
      <w:r>
        <w:rPr>
          <w:sz w:val="18"/>
        </w:rPr>
        <w:t xml:space="preserve">No Licensor consent right is required before the transaction for the Section 9.1 termination right to apply; the agreement expressly provides no opportunity for Apex to obtain Licensor’s consent.</w:t>
      </w:r>
    </w:p>
    <w:p>
      <w:pPr>
        <w:pStyle w:val="ListBullet"/>
      </w:pPr>
      <w:r>
        <w:rPr>
          <w:sz w:val="18"/>
        </w:rPr>
        <w:t xml:space="preserve">Licensor may terminate by written notice, effective immediately upon delivery.</w:t>
      </w:r>
    </w:p>
    <w:p>
      <w:pPr>
        <w:pStyle w:val="ListBullet"/>
      </w:pPr>
      <w:r>
        <w:rPr>
          <w:sz w:val="18"/>
        </w:rPr>
        <w:t xml:space="preserve">No advance notice, cure period, or waiting period applies.</w:t>
      </w:r>
    </w:p>
    <w:p>
      <w:pPr>
        <w:pStyle w:val="ListBullet"/>
      </w:pPr>
      <w:r>
        <w:rPr>
          <w:sz w:val="18"/>
        </w:rPr>
        <w:t xml:space="preserve">Separately, Section 10.1 prohibits Apex from assigning, transferring, delegating, or otherwise disposing of the agreement or its rights or obligations without Licensor’s prior written consent, which may be withheld in Licensor’s sole and absolute discretion. Any prohibited transfer is null and void.</w:t>
      </w:r>
    </w:p>
    <w:p>
      <w:pPr>
        <w:pStyle w:val="ListBullet"/>
      </w:pPr>
      <w:r>
        <w:rPr>
          <w:sz w:val="18"/>
        </w:rPr>
        <w:t xml:space="preserve">General notices must be in writing and delivered by hand, nationally recognized overnight courier, or certified mail under Section 12.5.</w:t>
      </w:r>
    </w:p>
    <w:p>
      <w:pPr>
        <w:pStyle w:val="ListBullet"/>
      </w:pPr>
      <w:r>
        <w:rPr>
          <w:sz w:val="18"/>
        </w:rPr>
        <w:t xml:space="preserve">Amendments require a writing signed by both Parties under Section 12.2.</w:t>
      </w:r>
    </w:p>
    <w:p>
      <w:pPr/>
      <w:r>
        <w:rPr>
          <w:sz w:val="18"/>
        </w:rPr>
        <w:t xml:space="preserve">CONSEQUENCES</w:t>
      </w:r>
    </w:p>
    <w:p>
      <w:pPr>
        <w:pStyle w:val="ListBullet"/>
      </w:pPr>
      <w:r>
        <w:rPr>
          <w:sz w:val="18"/>
        </w:rPr>
        <w:t xml:space="preserve">Upon a Section 9.1 termination notice, all license rights immediately cease, subject only to Section 9.5.</w:t>
      </w:r>
    </w:p>
    <w:p>
      <w:pPr>
        <w:pStyle w:val="ListBullet"/>
      </w:pPr>
      <w:r>
        <w:rPr>
          <w:sz w:val="18"/>
        </w:rPr>
        <w:t xml:space="preserve">Apex must immediately cease use of the Licensed Technology and, within 30 days after termination, return or destroy all copies of the Licensed Technology and Documentation and provide written certification signed by an authorized officer.</w:t>
      </w:r>
    </w:p>
    <w:p>
      <w:pPr>
        <w:pStyle w:val="ListBullet"/>
      </w:pPr>
      <w:r>
        <w:rPr>
          <w:sz w:val="18"/>
        </w:rPr>
        <w:t xml:space="preserve">Apex may sell existing inventory of Licensed Products fully manufactured before termination for a 90-day Sell-Off Period, but may not manufacture new Licensed Products during that period.</w:t>
      </w:r>
    </w:p>
    <w:p>
      <w:pPr>
        <w:pStyle w:val="ListBullet"/>
      </w:pPr>
      <w:r>
        <w:rPr>
          <w:sz w:val="18"/>
        </w:rPr>
        <w:t xml:space="preserve">Royalty obligations continue during the Sell-Off Period.</w:t>
      </w:r>
    </w:p>
    <w:p>
      <w:pPr>
        <w:pStyle w:val="ListBullet"/>
      </w:pPr>
      <w:r>
        <w:rPr>
          <w:sz w:val="18"/>
        </w:rPr>
        <w:t xml:space="preserve">All accrued but unpaid License Fees and Royalties become immediately due and payable.</w:t>
      </w:r>
    </w:p>
    <w:p>
      <w:pPr>
        <w:pStyle w:val="ListBullet"/>
      </w:pPr>
      <w:r>
        <w:rPr>
          <w:sz w:val="18"/>
        </w:rPr>
        <w:t xml:space="preserve">The initial License Fee is $1,250,000, payable in two non-refundable installments of $625,000: upon execution and on the first anniversary of the Effective Date; it is not creditable against royalties.</w:t>
      </w:r>
    </w:p>
    <w:p>
      <w:pPr>
        <w:pStyle w:val="ListBullet"/>
      </w:pPr>
      <w:r>
        <w:rPr>
          <w:sz w:val="18"/>
        </w:rPr>
        <w:t xml:space="preserve">Royalties are 3.5% of Net Sales Revenue from Licensed Products, calculated quarterly and payable within 30 days after each calendar quarter, with a detailed statement. Late royalties bear interest at 1.5% per month or the maximum lawful rate, whichever is less.</w:t>
      </w:r>
    </w:p>
    <w:p>
      <w:pPr>
        <w:pStyle w:val="ListBullet"/>
      </w:pPr>
      <w:r>
        <w:rPr>
          <w:sz w:val="18"/>
        </w:rPr>
        <w:t xml:space="preserve">Confidentiality survives for five years after termination, except trade secrets remain protected while they remain trade secrets. Article 5, Section 7.3, Article 8, Section 9.5, and Article 11 also survive as specified.</w:t>
      </w:r>
    </w:p>
    <w:p>
      <w:pPr/>
      <w:r>
        <w:rPr>
          <w:sz w:val="18"/>
        </w:rPr>
        <w:t xml:space="preserve">EXCEPTIONS / CARVE-OUTS</w:t>
      </w:r>
    </w:p>
    <w:p>
      <w:pPr>
        <w:pStyle w:val="ListBullet"/>
      </w:pPr>
      <w:r>
        <w:rPr>
          <w:sz w:val="18"/>
        </w:rPr>
        <w:t xml:space="preserve">No express exception or safe harbor is provided for internal reorganizations, transactions involving Affiliates, changes in ownership of a parent, or transactions in which Apex’s shareholders receive equity in a successor.</w:t>
      </w:r>
    </w:p>
    <w:p>
      <w:pPr>
        <w:pStyle w:val="ListBullet"/>
      </w:pPr>
      <w:r>
        <w:rPr>
          <w:sz w:val="18"/>
        </w:rPr>
        <w:t xml:space="preserve">The Change of Control definition applies regardless of transaction form and expressly includes forward, reverse, and triangular mergers.</w:t>
      </w:r>
    </w:p>
    <w:p>
      <w:pPr>
        <w:pStyle w:val="ListBullet"/>
      </w:pPr>
      <w:r>
        <w:rPr>
          <w:sz w:val="18"/>
        </w:rPr>
        <w:t xml:space="preserve">The only post-termination operational carve-out is the 90-day sale of pre-existing, fully manufactured inventory, subject to royalties and a prohibition on new manufacturing.</w:t>
      </w:r>
    </w:p>
    <w:p>
      <w:pPr>
        <w:pStyle w:val="ListBullet"/>
      </w:pPr>
      <w:r>
        <w:rPr>
          <w:sz w:val="18"/>
        </w:rPr>
        <w:t xml:space="preserve">Section 10.2 permits Hendricks to assign the agreement, in whole or in part, to a successor or acquirer of all or substantially all of Hendricks’s assets or business related to the Licensed Technology, upon written notice to Apex.</w:t>
      </w:r>
    </w:p>
    <w:p>
      <w:pPr/>
      <w:r>
        <w:rPr>
          <w:sz w:val="18"/>
        </w:rPr>
        <w:t xml:space="preserve">ASSIGNMENT / TRANSFER / MERGER LANGUAGE</w:t>
      </w:r>
    </w:p>
    <w:p>
      <w:pPr>
        <w:pStyle w:val="ListBullet"/>
      </w:pPr>
      <w:r>
        <w:rPr>
          <w:sz w:val="18"/>
        </w:rPr>
        <w:t xml:space="preserve">Section 2.1 makes the license non-exclusive and non-transferable and states it is personal to Apex; it may not be transferred, sublicensed, or assigned except as expressly permitted.</w:t>
      </w:r>
    </w:p>
    <w:p>
      <w:pPr>
        <w:pStyle w:val="ListBullet"/>
      </w:pPr>
      <w:r>
        <w:rPr>
          <w:sz w:val="18"/>
        </w:rPr>
        <w:t xml:space="preserve">Section 2.2 prohibits sublicensing without Hendricks’s prior written approval.</w:t>
      </w:r>
    </w:p>
    <w:p>
      <w:pPr>
        <w:pStyle w:val="ListBullet"/>
      </w:pPr>
      <w:r>
        <w:rPr>
          <w:sz w:val="18"/>
        </w:rPr>
        <w:t xml:space="preserve">Section 10.1 prohibits Apex from assigning, transferring, delegating, or otherwise disposing of the agreement or its rights or obligations, whether by operation of law or otherwise, without Hendricks’s prior written consent, which may be withheld in Hendricks’s sole and absolute discretion.</w:t>
      </w:r>
    </w:p>
    <w:p>
      <w:pPr>
        <w:pStyle w:val="ListBullet"/>
      </w:pPr>
      <w:r>
        <w:rPr>
          <w:sz w:val="18"/>
        </w:rPr>
        <w:t xml:space="preserve">Any attempted transfer violating Section 10.1 is null and void.</w:t>
      </w:r>
    </w:p>
    <w:p>
      <w:pPr>
        <w:pStyle w:val="ListBullet"/>
      </w:pPr>
      <w:r>
        <w:rPr>
          <w:sz w:val="18"/>
        </w:rPr>
        <w:t xml:space="preserve">Section 10.1 expressly treats a Change of Control as an assignment by operation of law.</w:t>
      </w:r>
    </w:p>
    <w:p>
      <w:pPr>
        <w:pStyle w:val="ListBullet"/>
      </w:pPr>
      <w:r>
        <w:rPr>
          <w:sz w:val="18"/>
        </w:rPr>
        <w:t xml:space="preserve">Section 1.3 expressly covers mergers, consolidations, reorganizations, and forward, reverse, and triangular mergers.</w:t>
      </w:r>
    </w:p>
    <w:p>
      <w:pPr>
        <w:pStyle w:val="ListBullet"/>
      </w:pPr>
      <w:r>
        <w:rPr>
          <w:sz w:val="18"/>
        </w:rPr>
        <w:t xml:space="preserve">Section 10.2 contains a one-way assignment right for Hendricks to assign to a successor or acquirer of relevant assets or business upon written notice.</w:t>
      </w:r>
    </w:p>
    <w:p>
      <w:pPr/>
      <w:r>
        <w:rPr>
          <w:sz w:val="18"/>
        </w:rPr>
        <w:t xml:space="preserve">STOCK DEAL RISK</w:t>
      </w:r>
    </w:p>
    <w:p>
      <w:pPr>
        <w:pStyle w:val="ListBullet"/>
      </w:pPr>
      <w:r>
        <w:rPr>
          <w:sz w:val="18"/>
        </w:rPr>
        <w:t xml:space="preserve">High. An acquisition of more than 50% of Apex’s voting securities is an express Change of Control.</w:t>
      </w:r>
    </w:p>
    <w:p>
      <w:pPr>
        <w:pStyle w:val="ListBullet"/>
      </w:pPr>
      <w:r>
        <w:rPr>
          <w:sz w:val="18"/>
        </w:rPr>
        <w:t xml:space="preserve">A transaction that changes the identity of the persons ultimately controlling Apex may trigger the clause even if the 50% threshold is not directly met.</w:t>
      </w:r>
    </w:p>
    <w:p>
      <w:pPr>
        <w:pStyle w:val="ListBullet"/>
      </w:pPr>
      <w:r>
        <w:rPr>
          <w:sz w:val="18"/>
        </w:rPr>
        <w:t xml:space="preserve">Hendricks may terminate immediately by written notice in its sole and absolute discretion, without consent, advance notice, cure period, or justification.</w:t>
      </w:r>
    </w:p>
    <w:p>
      <w:pPr>
        <w:pStyle w:val="ListBullet"/>
      </w:pPr>
      <w:r>
        <w:rPr>
          <w:sz w:val="18"/>
        </w:rPr>
        <w:t xml:space="preserve">The license is personal and non-transferable, and a Change of Control is also deemed an assignment by operation of law.</w:t>
      </w:r>
    </w:p>
    <w:p>
      <w:pPr>
        <w:pStyle w:val="ListBullet"/>
      </w:pPr>
      <w:r>
        <w:rPr>
          <w:sz w:val="18"/>
        </w:rPr>
        <w:t xml:space="preserve">Termination would end the license immediately, subject to only the 90-day sell-off for pre-existing inventory and continuing royalty obligations.</w:t>
      </w:r>
    </w:p>
    <w:p>
      <w:pPr/>
      <w:r>
        <w:rPr>
          <w:sz w:val="18"/>
        </w:rPr>
        <w:t xml:space="preserve">ASSET DEAL RISK</w:t>
      </w:r>
    </w:p>
    <w:p>
      <w:pPr>
        <w:pStyle w:val="ListBullet"/>
      </w:pPr>
      <w:r>
        <w:rPr>
          <w:sz w:val="18"/>
        </w:rPr>
        <w:t xml:space="preserve">High. A sale, transfer, or other disposition of all or substantially all of Apex’s assets is expressly a Change of Control.</w:t>
      </w:r>
    </w:p>
    <w:p>
      <w:pPr>
        <w:pStyle w:val="ListBullet"/>
      </w:pPr>
      <w:r>
        <w:rPr>
          <w:sz w:val="18"/>
        </w:rPr>
        <w:t xml:space="preserve">Any merger, consolidation, or reorganization involving Apex is covered whether or not Apex is the surviving entity.</w:t>
      </w:r>
    </w:p>
    <w:p>
      <w:pPr>
        <w:pStyle w:val="ListBullet"/>
      </w:pPr>
      <w:r>
        <w:rPr>
          <w:sz w:val="18"/>
        </w:rPr>
        <w:t xml:space="preserve">A transaction transferring the AX-7000 Product Line or the business using the Licensed Technology may create substantial risk if it constitutes a disposition of all or substantially all assets or otherwise changes ultimate control.</w:t>
      </w:r>
    </w:p>
    <w:p>
      <w:pPr>
        <w:pStyle w:val="ListBullet"/>
      </w:pPr>
      <w:r>
        <w:rPr>
          <w:sz w:val="18"/>
        </w:rPr>
        <w:t xml:space="preserve">The license cannot otherwise be transferred without Hendricks’s prior written consent, which may be withheld in Hendricks’s sole and absolute discretion.</w:t>
      </w:r>
    </w:p>
    <w:p>
      <w:pPr>
        <w:pStyle w:val="ListBullet"/>
      </w:pPr>
      <w:r>
        <w:rPr>
          <w:sz w:val="18"/>
        </w:rPr>
        <w:t xml:space="preserve">Hendricks’s own successor or asset acquirer may receive an assignment under Section 10.2, but this does not provide a corresponding transfer right to Apex.</w:t>
      </w:r>
    </w:p>
    <w:p>
      <w:pPr/>
      <w:r>
        <w:rPr>
          <w:sz w:val="18"/>
        </w:rPr>
        <w:t xml:space="preserve">MITIGATION</w:t>
      </w:r>
    </w:p>
    <w:p>
      <w:pPr>
        <w:pStyle w:val="ListBullet"/>
      </w:pPr>
      <w:r>
        <w:rPr>
          <w:sz w:val="18"/>
        </w:rPr>
        <w:t xml:space="preserve">Obtain Hendricks’s written consent or a written amendment/waiver before signing or closing a potentially triggering transaction; any amendment must be signed by both Parties.</w:t>
      </w:r>
    </w:p>
    <w:p>
      <w:pPr>
        <w:pStyle w:val="ListBullet"/>
      </w:pPr>
      <w:r>
        <w:rPr>
          <w:sz w:val="18"/>
        </w:rPr>
        <w:t xml:space="preserve">Seek express written confirmation that the specific transaction will not constitute a Change of Control or assignment, and that the license will continue with the successor or transferred business.</w:t>
      </w:r>
    </w:p>
    <w:p>
      <w:pPr>
        <w:pStyle w:val="ListBullet"/>
      </w:pPr>
      <w:r>
        <w:rPr>
          <w:sz w:val="18"/>
        </w:rPr>
        <w:t xml:space="preserve">Address the transaction’s treatment of the AX-7000 Product Line, Licensed Technology, existing inventory, royalty reporting, and post-closing use rights in the written agreement.</w:t>
      </w:r>
    </w:p>
    <w:p>
      <w:pPr>
        <w:pStyle w:val="ListBullet"/>
      </w:pPr>
      <w:r>
        <w:rPr>
          <w:sz w:val="18"/>
        </w:rPr>
        <w:t xml:space="preserve">If termination occurs, plan for the 30-day return/destruction deadline, the 90-day inventory sell-off, continued royalties during sell-off, and immediate payment of accrued fees and royalties.</w:t>
      </w:r>
    </w:p>
    <w:p>
      <w:pPr>
        <w:pStyle w:val="ListBullet"/>
      </w:pPr>
      <w:r>
        <w:rPr>
          <w:sz w:val="18"/>
        </w:rPr>
        <w:t xml:space="preserve">Review whether a transaction can be structured without triggering the expressly defined thresholds, recognizing that the broad ultimate-control and transaction-form language may still apply.</w:t>
      </w:r>
    </w:p>
    <w:p>
      <w:pPr>
        <w:r>
          <w:br w:type="page"/>
        </w:r>
      </w:pPr>
      <w:r>
        <w:rPr>
          <w:sz w:val="20"/>
        </w:rPr>
        <w:t xml:space="preserve"/>
      </w:r>
    </w:p>
    <w:p>
      <w:pPr>
        <w:pStyle w:val="Heading1"/>
      </w:pPr>
      <w:r>
        <w:rPr>
          <w:b/>
          <w:color w:val="1F4E79"/>
          <w:sz w:val="32"/>
        </w:rPr>
        <w:t xml:space="preserve">8. Hesse Employment Agreement</w:t>
      </w:r>
    </w:p>
    <w:p>
      <w:pPr/>
      <w:r>
        <w:rPr>
          <w:i/>
          <w:color w:val="666666"/>
          <w:sz w:val="18"/>
        </w:rPr>
        <w:t xml:space="preserve">Source file: hesse-employment-agreement.docx.txt</w:t>
      </w:r>
    </w:p>
    <w:p>
      <w:pPr/>
      <w:r>
        <w:rPr>
          <w:sz w:val="18"/>
        </w:rPr>
        <w:t xml:space="preserve">DOCUMENT / PARTIES / TERM</w:t>
      </w:r>
    </w:p>
    <w:p>
      <w:pPr/>
      <w:r>
        <w:rPr>
          <w:sz w:val="18"/>
        </w:rPr>
        <w:t xml:space="preserve">Employment Agreement No. EA-2021-003-MH, dated August 15, 2021, between Apex Industrial Technologies, Inc. (the “Company”) and Dr. Miriam Hesse (the “Executive”), as supplemented by the March 14, 2025 Exhibit A Side Letter concerning a proposed merger. Executive is employed as Chief Technology Officer. Employment is at-will and continues until termination under Section 6; no fixed expiration date is stated.</w:t>
      </w:r>
    </w:p>
    <w:p>
      <w:pPr/>
      <w:r>
        <w:rPr>
          <w:sz w:val="18"/>
        </w:rPr>
        <w:t xml:space="preserve">EXPRESS CHANGE-OF-CONTROL CLAUSE (quote or close paraphrase and section)</w:t>
      </w:r>
    </w:p>
    <w:p>
      <w:pPr/>
      <w:r>
        <w:rPr>
          <w:sz w:val="18"/>
        </w:rPr>
        <w:t xml:space="preserve">Section 1 defines “Change of Control” as: (i) a merger, consolidation, reorganization, or similar combination in which the Company is not the surviving entity, or in which pre-transaction voting holders retain less than 50% of the surviving/resulting entity’s voting securities; (ii) sale, transfer, or other disposition of all or substantially all Company assets; (iii) any person or group acquiring beneficial ownership of more than 50% of the Company’s combined voting power; or (iv) during any 24-month period, the incumbent directors cease to constitute a majority of the Board.</w:t>
      </w:r>
    </w:p>
    <w:p>
      <w:pPr/>
      <w:r>
        <w:rPr>
          <w:sz w:val="18"/>
        </w:rPr>
        <w:t xml:space="preserve">Section 5.4 provides that, upon consummation of a Change of Control, “all of Executive’s then-unvested Equity Awards shall immediately and automatically vest” and become exercisable, if applicable, without any termination or other condition. Section 5.3 provides enhanced severance for a Qualifying Termination within 24 months after the Change of Control.</w:t>
      </w:r>
    </w:p>
    <w:p>
      <w:pPr/>
      <w:r>
        <w:rPr>
          <w:sz w:val="18"/>
        </w:rPr>
        <w:t xml:space="preserve">The March 14, 2025 Side Letter states that the proposed merger constitutes a Change of Control and acknowledges a direct conflict between Section 5.4 and the merger’s contemplated rollover of unvested RSUs. It expressly provides that Section 5.4 remains in full force and has not been waived or amended.</w:t>
      </w:r>
    </w:p>
    <w:p>
      <w:pPr/>
      <w:r>
        <w:rPr>
          <w:sz w:val="18"/>
        </w:rPr>
        <w:t xml:space="preserve">TRIGGERS AND THRESHOLDS</w:t>
      </w:r>
    </w:p>
    <w:p>
      <w:pPr>
        <w:pStyle w:val="ListBullet"/>
      </w:pPr>
      <w:r>
        <w:rPr>
          <w:sz w:val="18"/>
        </w:rPr>
        <w:t xml:space="preserve">Merger or similar transaction: Company is not the surviving entity, or pre-transaction voting holders retain less than 50% of the surviving/resulting entity’s voting securities.</w:t>
      </w:r>
    </w:p>
    <w:p>
      <w:pPr>
        <w:pStyle w:val="ListBullet"/>
      </w:pPr>
      <w:r>
        <w:rPr>
          <w:sz w:val="18"/>
        </w:rPr>
        <w:t xml:space="preserve">Asset transaction: sale, transfer, or other disposition of all or substantially all Company assets.</w:t>
      </w:r>
    </w:p>
    <w:p>
      <w:pPr>
        <w:pStyle w:val="ListBullet"/>
      </w:pPr>
      <w:r>
        <w:rPr>
          <w:sz w:val="18"/>
        </w:rPr>
        <w:t xml:space="preserve">Voting acquisition: more than 50% beneficial ownership of the Company’s combined voting power by a person or Section 13(d)(3) group.</w:t>
      </w:r>
    </w:p>
    <w:p>
      <w:pPr>
        <w:pStyle w:val="ListBullet"/>
      </w:pPr>
      <w:r>
        <w:rPr>
          <w:sz w:val="18"/>
        </w:rPr>
        <w:t xml:space="preserve">Board turnover: incumbent directors cease to be a majority during any consecutive 24-month period.</w:t>
      </w:r>
    </w:p>
    <w:p>
      <w:pPr>
        <w:pStyle w:val="ListBullet"/>
      </w:pPr>
      <w:r>
        <w:rPr>
          <w:sz w:val="18"/>
        </w:rPr>
        <w:t xml:space="preserve">Enhanced severance requires termination by the Company without Cause or resignation by Executive for Good Reason within 24 months after consummation.</w:t>
      </w:r>
    </w:p>
    <w:p>
      <w:pPr>
        <w:pStyle w:val="ListBullet"/>
      </w:pPr>
      <w:r>
        <w:rPr>
          <w:sz w:val="18"/>
        </w:rPr>
        <w:t xml:space="preserve">Good Reason includes material diminution of duties/authority, Base Salary reduction of more than 10%, relocation of the primary work location by more than 50 miles, or material Company breach, subject to 30-day notice, a 30-day cure period, and resignation within 30 days after the cure period expires.</w:t>
      </w:r>
    </w:p>
    <w:p>
      <w:pPr>
        <w:pStyle w:val="ListBullet"/>
      </w:pPr>
      <w:r>
        <w:rPr>
          <w:sz w:val="18"/>
        </w:rPr>
        <w:t xml:space="preserve">The proposed merger is described as a merger of Merger Sub into the Company, with the Company surviving as a wholly owned subsidiary of Parent. The Side Letter expressly states that this merger constitutes a Change of Control.</w:t>
      </w:r>
    </w:p>
    <w:p>
      <w:pPr/>
      <w:r>
        <w:rPr>
          <w:sz w:val="18"/>
        </w:rPr>
        <w:t xml:space="preserve">NOTICE / CONSENT / APPROVAL</w:t>
      </w:r>
    </w:p>
    <w:p>
      <w:pPr>
        <w:pStyle w:val="ListBullet"/>
      </w:pPr>
      <w:r>
        <w:rPr>
          <w:sz w:val="18"/>
        </w:rPr>
        <w:t xml:space="preserve">Under Section 5.1, the Company must provide written notice of any anticipated Change of Control no later than 15 business days before expected consummation, describing the transaction in reasonable detail.</w:t>
      </w:r>
    </w:p>
    <w:p>
      <w:pPr>
        <w:pStyle w:val="ListBullet"/>
      </w:pPr>
      <w:r>
        <w:rPr>
          <w:sz w:val="18"/>
        </w:rPr>
        <w:t xml:space="preserve">The Employment Agreement does not require Executive’s consent to the Change of Control itself or to a termination following it.</w:t>
      </w:r>
    </w:p>
    <w:p>
      <w:pPr>
        <w:pStyle w:val="ListBullet"/>
      </w:pPr>
      <w:r>
        <w:rPr>
          <w:sz w:val="18"/>
        </w:rPr>
        <w:t xml:space="preserve">Under the Side Letter, Executive and the Company must negotiate in good faith before the proposed merger closing, expected on or before August 29, 2025, to resolve the acceleration/rollover conflict.</w:t>
      </w:r>
    </w:p>
    <w:p>
      <w:pPr>
        <w:pStyle w:val="ListBullet"/>
      </w:pPr>
      <w:r>
        <w:rPr>
          <w:sz w:val="18"/>
        </w:rPr>
        <w:t xml:space="preserve">The Side Letter states that the merger agreement requires specified consents, waivers, and amendments at least five business days before closing. Executive’s consent to RSU rollover or waiver of the Section 5.4 acceleration right may constitute a required consent.</w:t>
      </w:r>
    </w:p>
    <w:p>
      <w:pPr>
        <w:pStyle w:val="ListBullet"/>
      </w:pPr>
      <w:r>
        <w:rPr>
          <w:sz w:val="18"/>
        </w:rPr>
        <w:t xml:space="preserve">Amendments or waivers of the Employment Agreement require a written instrument signed by both the Company and Executive. The Side Letter itself does not amend or waive Section 5.4.</w:t>
      </w:r>
    </w:p>
    <w:p>
      <w:pPr>
        <w:pStyle w:val="ListBullet"/>
      </w:pPr>
      <w:r>
        <w:rPr>
          <w:sz w:val="18"/>
        </w:rPr>
        <w:t xml:space="preserve">Severance benefits other than Accrued Obligations require execution and non-revocation of a general release within 60 days after termination.</w:t>
      </w:r>
    </w:p>
    <w:p>
      <w:pPr/>
      <w:r>
        <w:rPr>
          <w:sz w:val="18"/>
        </w:rPr>
        <w:t xml:space="preserve">CONSEQUENCES</w:t>
      </w:r>
    </w:p>
    <w:p>
      <w:pPr>
        <w:pStyle w:val="ListBullet"/>
      </w:pPr>
      <w:r>
        <w:rPr>
          <w:sz w:val="18"/>
        </w:rPr>
        <w:t xml:space="preserve">Automatic equity acceleration: all then-unvested Equity Awards immediately vest upon consummation of the Change of Control, without a termination requirement and notwithstanding contrary equity plan or award provisions.</w:t>
      </w:r>
    </w:p>
    <w:p>
      <w:pPr>
        <w:pStyle w:val="ListBullet"/>
      </w:pPr>
      <w:r>
        <w:rPr>
          <w:sz w:val="18"/>
        </w:rPr>
        <w:t xml:space="preserve">Qualifying Termination severance within 24 months:</w:t>
      </w:r>
    </w:p>
    <w:p>
      <w:pPr>
        <w:pStyle w:val="ListBullet"/>
      </w:pPr>
      <w:r>
        <w:rPr>
          <w:sz w:val="18"/>
        </w:rPr>
        <w:t xml:space="preserve">Lump-sum cash payment equal to 2.0 times Base Salary plus Target Bonus: $1,232,000, calculated as ($385,000 + $231,000) × 2.0.</w:t>
      </w:r>
    </w:p>
    <w:p>
      <w:pPr>
        <w:pStyle w:val="ListBullet"/>
      </w:pPr>
      <w:r>
        <w:rPr>
          <w:sz w:val="18"/>
        </w:rPr>
        <w:t xml:space="preserve">Company-paid group health coverage for 24 months, or monthly cash equal to the applicable COBRA premium if plan continuation is unavailable.</w:t>
      </w:r>
    </w:p>
    <w:p>
      <w:pPr>
        <w:pStyle w:val="ListBullet"/>
      </w:pPr>
      <w:r>
        <w:rPr>
          <w:sz w:val="18"/>
        </w:rPr>
        <w:t xml:space="preserve">Pro-rata annual bonus for the termination year based on actual Company performance, payable when other senior executives are paid.</w:t>
      </w:r>
    </w:p>
    <w:p>
      <w:pPr>
        <w:pStyle w:val="ListBullet"/>
      </w:pPr>
      <w:r>
        <w:rPr>
          <w:sz w:val="18"/>
        </w:rPr>
        <w:t xml:space="preserve">Any remaining unvested Equity Awards accelerate and become exercisable, except to the extent already accelerated under Section 5.4.</w:t>
      </w:r>
    </w:p>
    <w:p>
      <w:pPr>
        <w:pStyle w:val="ListBullet"/>
      </w:pPr>
      <w:r>
        <w:rPr>
          <w:sz w:val="18"/>
        </w:rPr>
        <w:t xml:space="preserve">Employment is not guaranteed to continue after the Change of Control and remains at-will.</w:t>
      </w:r>
    </w:p>
    <w:p>
      <w:pPr>
        <w:pStyle w:val="ListBullet"/>
      </w:pPr>
      <w:r>
        <w:rPr>
          <w:sz w:val="18"/>
        </w:rPr>
        <w:t xml:space="preserve">No duplication is permitted with the ordinary severance under Sections 6.2 or 6.3.</w:t>
      </w:r>
    </w:p>
    <w:p>
      <w:pPr>
        <w:pStyle w:val="ListBullet"/>
      </w:pPr>
      <w:r>
        <w:rPr>
          <w:sz w:val="18"/>
        </w:rPr>
        <w:t xml:space="preserve">Section 280G may reduce payments and benefits to the amount necessary to avoid excess parachute payments, but only where the resulting net after-tax amount exceeds the net amount without reduction after applicable excise tax. Reductions apply first to cash severance, then other cash payments/benefits, and finally equity acceleration. Executive bears any Section 4999 excise tax not avoided through reduction.</w:t>
      </w:r>
    </w:p>
    <w:p>
      <w:pPr>
        <w:pStyle w:val="ListBullet"/>
      </w:pPr>
      <w:r>
        <w:rPr>
          <w:sz w:val="18"/>
        </w:rPr>
        <w:t xml:space="preserve">Section 409A may delay separation-related nonqualified deferred compensation for a specified employee until six months and one day after separation, unless earlier death.</w:t>
      </w:r>
    </w:p>
    <w:p>
      <w:pPr>
        <w:pStyle w:val="ListBullet"/>
      </w:pPr>
      <w:r>
        <w:rPr>
          <w:sz w:val="18"/>
        </w:rPr>
        <w:t xml:space="preserve">Under the Side Letter, Executive has 45,000 unvested RSUs. If accelerated, the Side Letter estimates approximately 14,139 Parent shares with an implied aggregate value of approximately $967,230, based on a $68.42 Parent share price and a 0.3142 exchange ratio. If rolled over, the estimated 14,139 Parent RSUs would remain subject to the existing vesting schedule.</w:t>
      </w:r>
    </w:p>
    <w:p>
      <w:pPr/>
      <w:r>
        <w:rPr>
          <w:sz w:val="18"/>
        </w:rPr>
        <w:t xml:space="preserve">EXCEPTIONS / CARVE-OUTS</w:t>
      </w:r>
    </w:p>
    <w:p>
      <w:pPr>
        <w:pStyle w:val="ListBullet"/>
      </w:pPr>
      <w:r>
        <w:rPr>
          <w:sz w:val="18"/>
        </w:rPr>
        <w:t xml:space="preserve">Section 5.4 contains no termination, consent, or other condition to automatic equity acceleration.</w:t>
      </w:r>
    </w:p>
    <w:p>
      <w:pPr>
        <w:pStyle w:val="ListBullet"/>
      </w:pPr>
      <w:r>
        <w:rPr>
          <w:sz w:val="18"/>
        </w:rPr>
        <w:t xml:space="preserve">Qualifying Termination benefits do not apply to termination for Cause, voluntary resignation without Good Reason, death, Disability, or termination outside the 24-month post-Change-of-Control period.</w:t>
      </w:r>
    </w:p>
    <w:p>
      <w:pPr>
        <w:pStyle w:val="ListBullet"/>
      </w:pPr>
      <w:r>
        <w:rPr>
          <w:sz w:val="18"/>
        </w:rPr>
        <w:t xml:space="preserve">Cause includes specified misconduct, material breach, felony conviction or plea, fraud/embezzlement/dishonesty, and uncured performance failure after written notice and a 30-day cure period.</w:t>
      </w:r>
    </w:p>
    <w:p>
      <w:pPr>
        <w:pStyle w:val="ListBullet"/>
      </w:pPr>
      <w:r>
        <w:rPr>
          <w:sz w:val="18"/>
        </w:rPr>
        <w:t xml:space="preserve">Equity acceleration under Section 5.4 is not conditioned on a release. Cash and benefit severance under Sections 5.3, 6.2, and 6.3 is release-conditioned.</w:t>
      </w:r>
    </w:p>
    <w:p>
      <w:pPr>
        <w:pStyle w:val="ListBullet"/>
      </w:pPr>
      <w:r>
        <w:rPr>
          <w:sz w:val="18"/>
        </w:rPr>
        <w:t xml:space="preserve">The Side Letter is not a waiver or amendment of Section 5.4. It contemplates possible resolution through a waiver for additional consideration, amendment of the merger or employment agreement, or another mutually agreed arrangement.</w:t>
      </w:r>
    </w:p>
    <w:p>
      <w:pPr>
        <w:pStyle w:val="ListBullet"/>
      </w:pPr>
      <w:r>
        <w:rPr>
          <w:sz w:val="18"/>
        </w:rPr>
        <w:t xml:space="preserve">Section 280G reduction and Section 5.6’s no-duplication provision limit the aggregate benefits payable.</w:t>
      </w:r>
    </w:p>
    <w:p>
      <w:pPr>
        <w:pStyle w:val="ListBullet"/>
      </w:pPr>
      <w:r>
        <w:rPr>
          <w:sz w:val="18"/>
        </w:rPr>
        <w:t xml:space="preserve">Ordinary termination provisions provide one times Base Salary ($385,000) over 12 months and 12 months of health coverage for termination without Cause or Good Reason resignation outside the 24-month Change-of-Control period.</w:t>
      </w:r>
    </w:p>
    <w:p>
      <w:pPr/>
      <w:r>
        <w:rPr>
          <w:sz w:val="18"/>
        </w:rPr>
        <w:t xml:space="preserve">ASSIGNMENT / TRANSFER / MERGER LANGUAGE</w:t>
      </w:r>
    </w:p>
    <w:p>
      <w:pPr/>
      <w:r>
        <w:rPr>
          <w:sz w:val="18"/>
        </w:rPr>
        <w:t xml:space="preserve">Section 8.3 prohibits Executive from assigning or transferring the Agreement without the Company’s prior written consent. The Company may assign the Agreement to a successor to all or substantially all of its business or assets by merger, consolidation, asset sale, or otherwise, provided the successor expressly assumes the Company’s obligations. The Agreement binds successors and permitted assigns.</w:t>
      </w:r>
    </w:p>
    <w:p>
      <w:pPr/>
      <w:r>
        <w:rPr>
          <w:sz w:val="18"/>
        </w:rPr>
        <w:t xml:space="preserve">The Change-of-Control definition separately captures qualifying mergers and asset sales. The Side Letter states that the proposed merger’s contemplated RSU rollover—conversion of Company RSUs into Parent RSUs at a 0.3142 exchange ratio, rounded down, on the same vesting schedule—conflicts with Section 5.4.</w:t>
      </w:r>
    </w:p>
    <w:p>
      <w:pPr/>
      <w:r>
        <w:rPr>
          <w:sz w:val="18"/>
        </w:rPr>
        <w:t xml:space="preserve">STOCK DEAL RISK</w:t>
      </w:r>
    </w:p>
    <w:p>
      <w:pPr/>
      <w:r>
        <w:rPr>
          <w:sz w:val="18"/>
        </w:rPr>
        <w:t xml:space="preserve">A stock acquisition exceeding 50% of voting power, or a transaction resulting in the pre-transaction holders retaining less than 50% of the resulting entity’s voting securities, triggers the Change of Control provisions. A qualifying merger triggers immediate single-trigger vesting of all unvested Equity Awards and may create $1,232,000 of cash severance plus 24 months of health coverage and a pro-rata bonus if employment is terminated without Cause or for Good Reason within 24 months.</w:t>
      </w:r>
    </w:p>
    <w:p>
      <w:pPr/>
      <w:r>
        <w:rPr>
          <w:sz w:val="18"/>
        </w:rPr>
        <w:t xml:space="preserve">The proposed merger presents a documented conflict between contractual acceleration and the merger agreement’s rollover treatment. Unless amended or waived, Section 5.4 remains operative. Executive’s consent or waiver may be a required merger consent due at least five business days before closing.</w:t>
      </w:r>
    </w:p>
    <w:p>
      <w:pPr/>
      <w:r>
        <w:rPr>
          <w:sz w:val="18"/>
        </w:rPr>
        <w:t xml:space="preserve">ASSET DEAL RISK</w:t>
      </w:r>
    </w:p>
    <w:p>
      <w:pPr/>
      <w:r>
        <w:rPr>
          <w:sz w:val="18"/>
        </w:rPr>
        <w:t xml:space="preserve">A sale, transfer, or other disposition of all or substantially all Company assets is expressly a Change of Control. The successor may assume the Agreement under Section 8.3, but the transaction nevertheless may trigger immediate equity acceleration and, upon a qualifying termination within 24 months, the enhanced severance package. The Agreement does not define “substantially all” or provide an asset-sale exception.</w:t>
      </w:r>
    </w:p>
    <w:p>
      <w:pPr/>
      <w:r>
        <w:rPr>
          <w:sz w:val="18"/>
        </w:rPr>
        <w:t xml:space="preserve">MITIGATION</w:t>
      </w:r>
    </w:p>
    <w:p>
      <w:pPr>
        <w:pStyle w:val="ListBullet"/>
      </w:pPr>
      <w:r>
        <w:rPr>
          <w:sz w:val="18"/>
        </w:rPr>
        <w:t xml:space="preserve">Obtain and review the Company’s written notice of the anticipated Change of Control and confirm delivery at least 15 business days before closing.</w:t>
      </w:r>
    </w:p>
    <w:p>
      <w:pPr>
        <w:pStyle w:val="ListBullet"/>
      </w:pPr>
      <w:r>
        <w:rPr>
          <w:sz w:val="18"/>
        </w:rPr>
        <w:t xml:space="preserve">Resolve the Section 5.4/RSU rollover conflict before closing through a signed amendment, waiver supported by agreed additional consideration, or other written arrangement.</w:t>
      </w:r>
    </w:p>
    <w:p>
      <w:pPr>
        <w:pStyle w:val="ListBullet"/>
      </w:pPr>
      <w:r>
        <w:rPr>
          <w:sz w:val="18"/>
        </w:rPr>
        <w:t xml:space="preserve">Confirm whether Executive’s consent or waiver is listed as a required merger consent and obtain it at least five business days before closing if required.</w:t>
      </w:r>
    </w:p>
    <w:p>
      <w:pPr>
        <w:pStyle w:val="ListBullet"/>
      </w:pPr>
      <w:r>
        <w:rPr>
          <w:sz w:val="18"/>
        </w:rPr>
        <w:t xml:space="preserve">Quantify all unvested Equity Awards, the applicable exchange ratio, and the value of single-trigger acceleration; confirm treatment under the equity plan and award agreements.</w:t>
      </w:r>
    </w:p>
    <w:p>
      <w:pPr>
        <w:pStyle w:val="ListBullet"/>
      </w:pPr>
      <w:r>
        <w:rPr>
          <w:sz w:val="18"/>
        </w:rPr>
        <w:t xml:space="preserve">Model the $1,232,000 severance, 24 months of health coverage, pro-rata bonus, 280G limitations, and potential Section 409A delay.</w:t>
      </w:r>
    </w:p>
    <w:p>
      <w:pPr>
        <w:pStyle w:val="ListBullet"/>
      </w:pPr>
      <w:r>
        <w:rPr>
          <w:sz w:val="18"/>
        </w:rPr>
        <w:t xml:space="preserve">If continued employment is intended, obtain appropriate retention or transition arrangements because the Agreement does not guarantee continued employment after the Change of Control.</w:t>
      </w:r>
    </w:p>
    <w:p>
      <w:pPr>
        <w:pStyle w:val="ListBullet"/>
      </w:pPr>
      <w:r>
        <w:rPr>
          <w:sz w:val="18"/>
        </w:rPr>
        <w:t xml:space="preserve">Ensure any assumption, amendment, waiver, or successor obligation is documented in a written instrument signed by the required parties.</w:t>
      </w:r>
    </w:p>
    <w:p>
      <w:pPr>
        <w:r>
          <w:br w:type="page"/>
        </w:r>
      </w:pPr>
      <w:r>
        <w:rPr>
          <w:sz w:val="20"/>
        </w:rPr>
        <w:t xml:space="preserve"/>
      </w:r>
    </w:p>
    <w:p>
      <w:pPr>
        <w:pStyle w:val="Heading1"/>
      </w:pPr>
      <w:r>
        <w:rPr>
          <w:b/>
          <w:color w:val="1F4E79"/>
          <w:sz w:val="32"/>
        </w:rPr>
        <w:t xml:space="preserve">9. Hq Lease Crescent Ridge</w:t>
      </w:r>
    </w:p>
    <w:p>
      <w:pPr/>
      <w:r>
        <w:rPr>
          <w:i/>
          <w:color w:val="666666"/>
          <w:sz w:val="18"/>
        </w:rPr>
        <w:t xml:space="preserve">Source file: hq-lease-crescent-ridge.docx.txt</w:t>
      </w:r>
    </w:p>
    <w:p>
      <w:pPr/>
      <w:r>
        <w:rPr>
          <w:sz w:val="18"/>
        </w:rPr>
        <w:t xml:space="preserve">DOCUMENT / PARTIES / TERM</w:t>
      </w:r>
    </w:p>
    <w:p>
      <w:pPr>
        <w:pStyle w:val="ListBullet"/>
      </w:pPr>
      <w:r>
        <w:rPr>
          <w:sz w:val="18"/>
        </w:rPr>
        <w:t xml:space="preserve">Commercial Lease Agreement, Lease No. CRR-2018-4200-600, dated July 1, 2018.</w:t>
      </w:r>
    </w:p>
    <w:p>
      <w:pPr>
        <w:pStyle w:val="ListBullet"/>
      </w:pPr>
      <w:r>
        <w:rPr>
          <w:sz w:val="18"/>
        </w:rPr>
        <w:t xml:space="preserve">Landlord: Crescent Ridge Realty Partners, LP, an Ohio limited partnership.</w:t>
      </w:r>
    </w:p>
    <w:p>
      <w:pPr>
        <w:pStyle w:val="ListBullet"/>
      </w:pPr>
      <w:r>
        <w:rPr>
          <w:sz w:val="18"/>
        </w:rPr>
        <w:t xml:space="preserve">Tenant: Apex Industrial Technologies, Inc., a Delaware corporation.</w:t>
      </w:r>
    </w:p>
    <w:p>
      <w:pPr>
        <w:pStyle w:val="ListBullet"/>
      </w:pPr>
      <w:r>
        <w:rPr>
          <w:sz w:val="18"/>
        </w:rPr>
        <w:t xml:space="preserve">Premises: approximately 36,000 rentable square feet at 4200 Crescent Ridge Parkway, Cincinnati, Ohio.</w:t>
      </w:r>
    </w:p>
    <w:p>
      <w:pPr>
        <w:pStyle w:val="ListBullet"/>
      </w:pPr>
      <w:r>
        <w:rPr>
          <w:sz w:val="18"/>
        </w:rPr>
        <w:t xml:space="preserve">Initial term: July 1, 2018 through June 30, 2028, unless earlier terminated.</w:t>
      </w:r>
    </w:p>
    <w:p>
      <w:pPr>
        <w:pStyle w:val="ListBullet"/>
      </w:pPr>
      <w:r>
        <w:rPr>
          <w:sz w:val="18"/>
        </w:rPr>
        <w:t xml:space="preserve">Tenant has one five-year renewal option through June 30, 2033; notice is due by June 30, 2027. The option is personal to Apex and may not be exercised by an assignee, sublessee, or transferee without Landlord’s prior written consent, which may be withheld in Landlord’s sole discretion.</w:t>
      </w:r>
    </w:p>
    <w:p>
      <w:pPr>
        <w:pStyle w:val="ListBullet"/>
      </w:pPr>
      <w:r>
        <w:rPr>
          <w:sz w:val="18"/>
        </w:rPr>
        <w:t xml:space="preserve">Initial Base Rent is $180,000 per month, escalating by 2.5% annually on each July 1; Security Deposit is $360,000.</w:t>
      </w:r>
    </w:p>
    <w:p>
      <w:pPr/>
      <w:r>
        <w:rPr>
          <w:sz w:val="18"/>
        </w:rPr>
        <w:t xml:space="preserve">EXPRESS CHANGE-OF-CONTROL CLAUSE (quote or close paraphrase and section)</w:t>
      </w:r>
    </w:p>
    <w:p>
      <w:pPr>
        <w:pStyle w:val="ListBullet"/>
      </w:pPr>
      <w:r>
        <w:rPr>
          <w:sz w:val="18"/>
        </w:rPr>
        <w:t xml:space="preserve">Section 22.2 expressly provides that a “Deemed Assignment” requiring Landlord’s prior written consent includes: “Any change in control of Tenant, including without limitation any merger, consolidation, or transfer of a controlling interest in Tenant’s equity, whether in a single transaction or a series of related transactions.”</w:t>
      </w:r>
    </w:p>
    <w:p>
      <w:pPr>
        <w:pStyle w:val="ListBullet"/>
      </w:pPr>
      <w:r>
        <w:rPr>
          <w:sz w:val="18"/>
        </w:rPr>
        <w:t xml:space="preserve">It also covers any transfer, issuance, or redemption of Tenant equity, or equity in an entity directly or indirectly controlling Tenant, that changes the identity of the person or group controlling Tenant, and any sale of all or substantially all of Tenant’s assets.</w:t>
      </w:r>
    </w:p>
    <w:p>
      <w:pPr>
        <w:pStyle w:val="ListBullet"/>
      </w:pPr>
      <w:r>
        <w:rPr>
          <w:sz w:val="18"/>
        </w:rPr>
        <w:t xml:space="preserve">The provision applies regardless of transaction form, including forward or reverse mergers, triangular mergers, share exchanges, asset acquisitions, recapitalizations, and similar combinations.</w:t>
      </w:r>
    </w:p>
    <w:p>
      <w:pPr>
        <w:pStyle w:val="ListBullet"/>
      </w:pPr>
      <w:r>
        <w:rPr>
          <w:sz w:val="18"/>
        </w:rPr>
        <w:t xml:space="preserve">Section 22.2 expressly states there is no exception or carve-out for Transfers or Deemed Assignments to or involving Affiliates.</w:t>
      </w:r>
    </w:p>
    <w:p>
      <w:pPr/>
      <w:r>
        <w:rPr>
          <w:sz w:val="18"/>
        </w:rPr>
        <w:t xml:space="preserve">TRIGGERS AND THRESHOLDS</w:t>
      </w:r>
    </w:p>
    <w:p>
      <w:pPr>
        <w:pStyle w:val="ListBullet"/>
      </w:pPr>
      <w:r>
        <w:rPr>
          <w:sz w:val="18"/>
        </w:rPr>
        <w:t xml:space="preserve">Any direct or indirect change in control of Tenant.</w:t>
      </w:r>
    </w:p>
    <w:p>
      <w:pPr>
        <w:pStyle w:val="ListBullet"/>
      </w:pPr>
      <w:r>
        <w:rPr>
          <w:sz w:val="18"/>
        </w:rPr>
        <w:t xml:space="preserve">Merger, consolidation, or transfer of a controlling equity interest, whether in one transaction or a series of related transactions.</w:t>
      </w:r>
    </w:p>
    <w:p>
      <w:pPr>
        <w:pStyle w:val="ListBullet"/>
      </w:pPr>
      <w:r>
        <w:rPr>
          <w:sz w:val="18"/>
        </w:rPr>
        <w:t xml:space="preserve">Any equity transfer, issuance, or redemption that changes the identity of the controlling person or group.</w:t>
      </w:r>
    </w:p>
    <w:p>
      <w:pPr>
        <w:pStyle w:val="ListBullet"/>
      </w:pPr>
      <w:r>
        <w:rPr>
          <w:sz w:val="18"/>
        </w:rPr>
        <w:t xml:space="preserve">Sale of all or substantially all of Tenant’s assets.</w:t>
      </w:r>
    </w:p>
    <w:p>
      <w:pPr>
        <w:pStyle w:val="ListBullet"/>
      </w:pPr>
      <w:r>
        <w:rPr>
          <w:sz w:val="18"/>
        </w:rPr>
        <w:t xml:space="preserve">“Control” under Section 22.2 means possession, directly or indirectly, of the power to direct or cause the direction of Tenant’s management and policies, through voting securities, contract, or otherwise. The general definition of control in Section 2 additionally refers to ownership of more than 50% of voting interests or equivalent management power.</w:t>
      </w:r>
    </w:p>
    <w:p>
      <w:pPr>
        <w:pStyle w:val="ListBullet"/>
      </w:pPr>
      <w:r>
        <w:rPr>
          <w:sz w:val="18"/>
        </w:rPr>
        <w:t xml:space="preserve">A Transfer also includes any assignment, transfer, or conveyance, voluntary or involuntary, by operation of law or otherwise.</w:t>
      </w:r>
    </w:p>
    <w:p>
      <w:pPr/>
      <w:r>
        <w:rPr>
          <w:sz w:val="18"/>
        </w:rPr>
        <w:t xml:space="preserve">NOTICE / CONSENT / APPROVAL</w:t>
      </w:r>
    </w:p>
    <w:p>
      <w:pPr>
        <w:pStyle w:val="ListBullet"/>
      </w:pPr>
      <w:r>
        <w:rPr>
          <w:sz w:val="18"/>
        </w:rPr>
        <w:t xml:space="preserve">Tenant must obtain Landlord’s prior written consent before any Transfer or Deemed Assignment.</w:t>
      </w:r>
    </w:p>
    <w:p>
      <w:pPr>
        <w:pStyle w:val="ListBullet"/>
      </w:pPr>
      <w:r>
        <w:rPr>
          <w:sz w:val="18"/>
        </w:rPr>
        <w:t xml:space="preserve">Tenant must submit its consent request at least 30 days before the proposed effective date.</w:t>
      </w:r>
    </w:p>
    <w:p>
      <w:pPr>
        <w:pStyle w:val="ListBullet"/>
      </w:pPr>
      <w:r>
        <w:rPr>
          <w:sz w:val="18"/>
        </w:rPr>
        <w:t xml:space="preserve">The request must include, among other information reasonably requested: the transferee’s audited financial statements for the prior three fiscal years, business and intended use, and the proposed transaction agreement.</w:t>
      </w:r>
    </w:p>
    <w:p>
      <w:pPr>
        <w:pStyle w:val="ListBullet"/>
      </w:pPr>
      <w:r>
        <w:rPr>
          <w:sz w:val="18"/>
        </w:rPr>
        <w:t xml:space="preserve">Landlord must respond in writing within 20 business days after receiving the request and all required information. Any denial must state the reasons.</w:t>
      </w:r>
    </w:p>
    <w:p>
      <w:pPr>
        <w:pStyle w:val="ListBullet"/>
      </w:pPr>
      <w:r>
        <w:rPr>
          <w:sz w:val="18"/>
        </w:rPr>
        <w:t xml:space="preserve">Failure to respond within 20 business days is deemed a withholding of consent, not approval. Tenant bears the affirmative burden of obtaining express written consent before closing or effectiveness.</w:t>
      </w:r>
    </w:p>
    <w:p>
      <w:pPr>
        <w:pStyle w:val="ListBullet"/>
      </w:pPr>
      <w:r>
        <w:rPr>
          <w:sz w:val="18"/>
        </w:rPr>
        <w:t xml:space="preserve">Consent may not be unreasonably withheld, conditioned, or delayed, but Landlord is deemed reasonable in withholding consent if, among other circumstances, the transferee’s tangible net worth is below the greater of Tenant’s net worth as of lease signing or the proposed Transfer date; the intended use is inconsistent with the Permitted Use; the transferee is governmental; the transaction violates the Lease or applicable law; or an uncured Event of Default exists.</w:t>
      </w:r>
    </w:p>
    <w:p>
      <w:pPr>
        <w:pStyle w:val="ListBullet"/>
      </w:pPr>
      <w:r>
        <w:rPr>
          <w:sz w:val="18"/>
        </w:rPr>
        <w:t xml:space="preserve">Notices must be in writing and delivered personally, by nationally recognized overnight courier, or by certified mail. Notice is effective upon receipt for personal delivery or courier, or three business days after mailing.</w:t>
      </w:r>
    </w:p>
    <w:p>
      <w:pPr/>
      <w:r>
        <w:rPr>
          <w:sz w:val="18"/>
        </w:rPr>
        <w:t xml:space="preserve">CONSEQUENCES</w:t>
      </w:r>
    </w:p>
    <w:p>
      <w:pPr>
        <w:pStyle w:val="ListBullet"/>
      </w:pPr>
      <w:r>
        <w:rPr>
          <w:sz w:val="18"/>
        </w:rPr>
        <w:t xml:space="preserve">An unauthorized Transfer or Deemed Assignment is void and constitutes an Event of Default.</w:t>
      </w:r>
    </w:p>
    <w:p>
      <w:pPr>
        <w:pStyle w:val="ListBullet"/>
      </w:pPr>
      <w:r>
        <w:rPr>
          <w:sz w:val="18"/>
        </w:rPr>
        <w:t xml:space="preserve">No permitted Transfer releases Tenant unless Landlord expressly agrees in writing. The transferee must assume all Tenant obligations in writing, and Tenant remains primarily liable.</w:t>
      </w:r>
    </w:p>
    <w:p>
      <w:pPr>
        <w:pStyle w:val="ListBullet"/>
      </w:pPr>
      <w:r>
        <w:rPr>
          <w:sz w:val="18"/>
        </w:rPr>
        <w:t xml:space="preserve">If Tenant effects or permits an unauthorized Transfer, or if consent is requested and properly withheld, Landlord may:</w:t>
      </w:r>
    </w:p>
    <w:p>
      <w:pPr>
        <w:pStyle w:val="ListBullet"/>
      </w:pPr>
      <w:r>
        <w:rPr>
          <w:sz w:val="18"/>
        </w:rPr>
        <w:t xml:space="preserve">Terminate the Lease on not less than 120 days’ prior written notice.</w:t>
      </w:r>
    </w:p>
    <w:p>
      <w:pPr>
        <w:pStyle w:val="ListBullet"/>
      </w:pPr>
      <w:r>
        <w:rPr>
          <w:sz w:val="18"/>
        </w:rPr>
        <w:t xml:space="preserve">Require surrender of the Premises on the stated Early Termination Date.</w:t>
      </w:r>
    </w:p>
    <w:p>
      <w:pPr>
        <w:pStyle w:val="ListBullet"/>
      </w:pPr>
      <w:r>
        <w:rPr>
          <w:sz w:val="18"/>
        </w:rPr>
        <w:t xml:space="preserve">Require an Early Termination Fee within 30 days after the Early Termination Date equal to 18 months of the initial monthly Base Rent: $180,000 × 18 = $3,240,000. The fee is calculated using the initial monthly Base Rent, not escalated rent. Landlord may apply the $360,000 Security Deposit to the fee.</w:t>
      </w:r>
    </w:p>
    <w:p>
      <w:pPr>
        <w:pStyle w:val="ListBullet"/>
      </w:pPr>
      <w:r>
        <w:rPr>
          <w:sz w:val="18"/>
        </w:rPr>
        <w:t xml:space="preserve">Elect recapture by notice within 30 days after first learning of the unauthorized Transfer, with termination no earlier than 60 days after the notice. The stated recapture remedy may be in lieu of or in addition to the termination and fee remedies; accrued Rent, surviving obligations, and indemnities remain payable.</w:t>
      </w:r>
    </w:p>
    <w:p>
      <w:pPr>
        <w:pStyle w:val="ListBullet"/>
      </w:pPr>
      <w:r>
        <w:rPr>
          <w:sz w:val="18"/>
        </w:rPr>
        <w:t xml:space="preserve">Pursue other remedies, including termination, repossession, acceleration of Rent and other sums through the Expiration Date discounted at 4% per annum, and other legal or equitable remedies, subject to mitigation as required by applicable law.</w:t>
      </w:r>
    </w:p>
    <w:p>
      <w:pPr>
        <w:pStyle w:val="ListBullet"/>
      </w:pPr>
      <w:r>
        <w:rPr>
          <w:sz w:val="18"/>
        </w:rPr>
        <w:t xml:space="preserve">If Landlord consents, Tenant must pay Landlord 50% of excess rent or other consideration received from the transferee over the Base Rent and Additional Rent payable under the Lease, calculated per square foot for a partial sublease, after reasonable documented brokerage, legal, and improvement costs. Payment is due within 30 days after Tenant receives each excess-rent installment.</w:t>
      </w:r>
    </w:p>
    <w:p>
      <w:pPr>
        <w:pStyle w:val="ListBullet"/>
      </w:pPr>
      <w:r>
        <w:rPr>
          <w:sz w:val="18"/>
        </w:rPr>
        <w:t xml:space="preserve">An unauthorized Transfer may also trigger the default cure and remedy provisions: 10 days after written notice for unpaid amounts; 30 days after notice for other defaults, with up to 90 days where cure cannot reasonably be completed within 30 days.</w:t>
      </w:r>
    </w:p>
    <w:p>
      <w:pPr>
        <w:pStyle w:val="ListBullet"/>
      </w:pPr>
      <w:r>
        <w:rPr>
          <w:sz w:val="18"/>
        </w:rPr>
        <w:t xml:space="preserve">Holdover after termination without consent is charged at 150% of then-current monthly Base Rent.</w:t>
      </w:r>
    </w:p>
    <w:p>
      <w:pPr/>
      <w:r>
        <w:rPr>
          <w:sz w:val="18"/>
        </w:rPr>
        <w:t xml:space="preserve">EXCEPTIONS / CARVE-OUTS</w:t>
      </w:r>
    </w:p>
    <w:p>
      <w:pPr>
        <w:pStyle w:val="ListBullet"/>
      </w:pPr>
      <w:r>
        <w:rPr>
          <w:sz w:val="18"/>
        </w:rPr>
        <w:t xml:space="preserve">No express change-of-control exception applies to Affiliate transactions; Affiliate Transfers require the same prior written consent.</w:t>
      </w:r>
    </w:p>
    <w:p>
      <w:pPr>
        <w:pStyle w:val="ListBullet"/>
      </w:pPr>
      <w:r>
        <w:rPr>
          <w:sz w:val="18"/>
        </w:rPr>
        <w:t xml:space="preserve">No exception is provided for internal reorganizations, mergers, recapitalizations, equity issuances, redemptions, or other specified transaction structures.</w:t>
      </w:r>
    </w:p>
    <w:p>
      <w:pPr>
        <w:pStyle w:val="ListBullet"/>
      </w:pPr>
      <w:r>
        <w:rPr>
          <w:sz w:val="18"/>
        </w:rPr>
        <w:t xml:space="preserve">The only stated limitations are the requirement that Landlord’s consent not be unreasonably withheld, conditioned, or delayed and the listed reasonable withholding grounds.</w:t>
      </w:r>
    </w:p>
    <w:p>
      <w:pPr>
        <w:pStyle w:val="ListBullet"/>
      </w:pPr>
      <w:r>
        <w:rPr>
          <w:sz w:val="18"/>
        </w:rPr>
        <w:t xml:space="preserve">The renewal option is personal to Apex and cannot be exercised by an assignee, sublessee, or transferee without Landlord’s prior written consent, which may be withheld in Landlord’s sole discretion.</w:t>
      </w:r>
    </w:p>
    <w:p>
      <w:pPr/>
      <w:r>
        <w:rPr>
          <w:sz w:val="18"/>
        </w:rPr>
        <w:t xml:space="preserve">ASSIGNMENT / TRANSFER / MERGER LANGUAGE</w:t>
      </w:r>
    </w:p>
    <w:p>
      <w:pPr>
        <w:pStyle w:val="ListBullet"/>
      </w:pPr>
      <w:r>
        <w:rPr>
          <w:sz w:val="18"/>
        </w:rPr>
        <w:t xml:space="preserve">Section 22.1 prohibits assignment, subleasing, transfer, mortgage, pledge, encumbrance, or hypothecation of the Lease or any related right without Landlord’s prior written consent.</w:t>
      </w:r>
    </w:p>
    <w:p>
      <w:pPr>
        <w:pStyle w:val="ListBullet"/>
      </w:pPr>
      <w:r>
        <w:rPr>
          <w:sz w:val="18"/>
        </w:rPr>
        <w:t xml:space="preserve">Section 22.2 treats specified changes in control, mergers, consolidations, equity transactions, and sales of all or substantially all assets as Deemed Assignments.</w:t>
      </w:r>
    </w:p>
    <w:p>
      <w:pPr>
        <w:pStyle w:val="ListBullet"/>
      </w:pPr>
      <w:r>
        <w:rPr>
          <w:sz w:val="18"/>
        </w:rPr>
        <w:t xml:space="preserve">Section 27.7 binds the Lease to successors and permitted assigns, but expressly makes successor or assignee status subject to strict compliance with Section 22 and Landlord approval.</w:t>
      </w:r>
    </w:p>
    <w:p>
      <w:pPr>
        <w:pStyle w:val="ListBullet"/>
      </w:pPr>
      <w:r>
        <w:rPr>
          <w:sz w:val="18"/>
        </w:rPr>
        <w:t xml:space="preserve">“Tenant” includes permitted successors and assigns only if they strictly comply with Section 22.</w:t>
      </w:r>
    </w:p>
    <w:p>
      <w:pPr>
        <w:pStyle w:val="ListBullet"/>
      </w:pPr>
      <w:r>
        <w:rPr>
          <w:sz w:val="18"/>
        </w:rPr>
        <w:t xml:space="preserve">Landlord’s consent to one Transfer does not waive the requirement for subsequent Transfers.</w:t>
      </w:r>
    </w:p>
    <w:p>
      <w:pPr/>
      <w:r>
        <w:rPr>
          <w:sz w:val="18"/>
        </w:rPr>
        <w:t xml:space="preserve">STOCK DEAL RISK</w:t>
      </w:r>
    </w:p>
    <w:p>
      <w:pPr>
        <w:pStyle w:val="ListBullet"/>
      </w:pPr>
      <w:r>
        <w:rPr>
          <w:sz w:val="18"/>
        </w:rPr>
        <w:t xml:space="preserve">High consent risk: a stock acquisition resulting in a change in the identity of the person or group controlling Tenant is expressly a Deemed Assignment.</w:t>
      </w:r>
    </w:p>
    <w:p>
      <w:pPr>
        <w:pStyle w:val="ListBullet"/>
      </w:pPr>
      <w:r>
        <w:rPr>
          <w:sz w:val="18"/>
        </w:rPr>
        <w:t xml:space="preserve">A transfer of a controlling equity interest is expressly covered, and the clause is not limited to a majority stock purchase; control may arise through voting rights, contract, or other means.</w:t>
      </w:r>
    </w:p>
    <w:p>
      <w:pPr>
        <w:pStyle w:val="ListBullet"/>
      </w:pPr>
      <w:r>
        <w:rPr>
          <w:sz w:val="18"/>
        </w:rPr>
        <w:t xml:space="preserve">A transaction involving equity in an entity directly or indirectly controlling Tenant may also require consent.</w:t>
      </w:r>
    </w:p>
    <w:p>
      <w:pPr>
        <w:pStyle w:val="ListBullet"/>
      </w:pPr>
      <w:r>
        <w:rPr>
          <w:sz w:val="18"/>
        </w:rPr>
        <w:t xml:space="preserve">The provision applies to single or related transactions and to forward, reverse, and triangular mergers, share exchanges, recapitalizations, and similar combinations.</w:t>
      </w:r>
    </w:p>
    <w:p>
      <w:pPr>
        <w:pStyle w:val="ListBullet"/>
      </w:pPr>
      <w:r>
        <w:rPr>
          <w:sz w:val="18"/>
        </w:rPr>
        <w:t xml:space="preserve">Failure to obtain express consent before effectiveness can make the transaction-related Transfer void under the Lease, create an Event of Default, and expose Tenant to termination, the $3,240,000 stated fee, recapture, accelerated Rent, and other remedies.</w:t>
      </w:r>
    </w:p>
    <w:p>
      <w:pPr>
        <w:pStyle w:val="ListBullet"/>
      </w:pPr>
      <w:r>
        <w:rPr>
          <w:sz w:val="18"/>
        </w:rPr>
        <w:t xml:space="preserve">No Affiliate or internal-reorganization carve-out is available.</w:t>
      </w:r>
    </w:p>
    <w:p>
      <w:pPr/>
      <w:r>
        <w:rPr>
          <w:sz w:val="18"/>
        </w:rPr>
        <w:t xml:space="preserve">ASSET DEAL RISK</w:t>
      </w:r>
    </w:p>
    <w:p>
      <w:pPr>
        <w:pStyle w:val="ListBullet"/>
      </w:pPr>
      <w:r>
        <w:rPr>
          <w:sz w:val="18"/>
        </w:rPr>
        <w:t xml:space="preserve">A sale of all or substantially all of Tenant’s assets is expressly a Deemed Assignment requiring prior written consent.</w:t>
      </w:r>
    </w:p>
    <w:p>
      <w:pPr>
        <w:pStyle w:val="ListBullet"/>
      </w:pPr>
      <w:r>
        <w:rPr>
          <w:sz w:val="18"/>
        </w:rPr>
        <w:t xml:space="preserve">An asset acquisition or similar combination is expressly covered regardless of structure.</w:t>
      </w:r>
    </w:p>
    <w:p>
      <w:pPr>
        <w:pStyle w:val="ListBullet"/>
      </w:pPr>
      <w:r>
        <w:rPr>
          <w:sz w:val="18"/>
        </w:rPr>
        <w:t xml:space="preserve">A permitted asset transaction requires the transferee’s written assumption, does not release Tenant absent Landlord’s written release, and may result in 50% sharing of excess rent or other consideration.</w:t>
      </w:r>
    </w:p>
    <w:p>
      <w:pPr>
        <w:pStyle w:val="ListBullet"/>
      </w:pPr>
      <w:r>
        <w:rPr>
          <w:sz w:val="18"/>
        </w:rPr>
        <w:t xml:space="preserve">An unauthorized or unapproved asset sale carries the same termination, recapture, fee, acceleration, and default risks described above.</w:t>
      </w:r>
    </w:p>
    <w:p>
      <w:pPr/>
      <w:r>
        <w:rPr>
          <w:sz w:val="18"/>
        </w:rPr>
        <w:t xml:space="preserve">MITIGATION</w:t>
      </w:r>
    </w:p>
    <w:p>
      <w:pPr>
        <w:pStyle w:val="ListBullet"/>
      </w:pPr>
      <w:r>
        <w:rPr>
          <w:sz w:val="18"/>
        </w:rPr>
        <w:t xml:space="preserve">Obtain Landlord’s express written consent before signing or closing any transaction that could constitute a Transfer or Deemed Assignment; do not rely on deemed approval.</w:t>
      </w:r>
    </w:p>
    <w:p>
      <w:pPr>
        <w:pStyle w:val="ListBullet"/>
      </w:pPr>
      <w:r>
        <w:rPr>
          <w:sz w:val="18"/>
        </w:rPr>
        <w:t xml:space="preserve">Submit the request at least 30 days before the proposed effective date and provide the required financial statements, business and use description, transaction agreement, and other reasonably requested information.</w:t>
      </w:r>
    </w:p>
    <w:p>
      <w:pPr>
        <w:pStyle w:val="ListBullet"/>
      </w:pPr>
      <w:r>
        <w:rPr>
          <w:sz w:val="18"/>
        </w:rPr>
        <w:t xml:space="preserve">Confirm the proposed transferee satisfies the tangible-net-worth, Permitted Use, legal-compliance, and no-uncured-default criteria.</w:t>
      </w:r>
    </w:p>
    <w:p>
      <w:pPr>
        <w:pStyle w:val="ListBullet"/>
      </w:pPr>
      <w:r>
        <w:rPr>
          <w:sz w:val="18"/>
        </w:rPr>
        <w:t xml:space="preserve">Seek an express written release of Apex’s continuing primary liability and confirmation that the renewal option remains available; absent such agreement, Apex remains liable and the renewal option remains personal to Apex.</w:t>
      </w:r>
    </w:p>
    <w:p>
      <w:pPr>
        <w:pStyle w:val="ListBullet"/>
      </w:pPr>
      <w:r>
        <w:rPr>
          <w:sz w:val="18"/>
        </w:rPr>
        <w:t xml:space="preserve">Address the 50% excess-rent payment obligation, potential $3,240,000 Early Termination Fee, Security Deposit application, and accelerated-Rent exposure in transaction documents and valuation.</w:t>
      </w:r>
    </w:p>
    <w:p>
      <w:pPr>
        <w:pStyle w:val="ListBullet"/>
      </w:pPr>
      <w:r>
        <w:rPr>
          <w:sz w:val="18"/>
        </w:rPr>
        <w:t xml:space="preserve">Obtain a written waiver or amendment if the parties intend an Affiliate transfer, internal reorganization, merger, or other transaction that would otherwise require consent.</w:t>
      </w:r>
    </w:p>
    <w:p>
      <w:pPr>
        <w:r>
          <w:br w:type="page"/>
        </w:r>
      </w:pPr>
      <w:r>
        <w:rPr>
          <w:sz w:val="20"/>
        </w:rPr>
        <w:t xml:space="preserve"/>
      </w:r>
    </w:p>
    <w:p>
      <w:pPr>
        <w:pStyle w:val="Heading1"/>
      </w:pPr>
      <w:r>
        <w:rPr>
          <w:b/>
          <w:color w:val="1F4E79"/>
          <w:sz w:val="32"/>
        </w:rPr>
        <w:t xml:space="preserve">10. Northland Refining Msa</w:t>
      </w:r>
    </w:p>
    <w:p>
      <w:pPr/>
      <w:r>
        <w:rPr>
          <w:i/>
          <w:color w:val="666666"/>
          <w:sz w:val="18"/>
        </w:rPr>
        <w:t xml:space="preserve">Source file: northland-refining-msa.docx.txt</w:t>
      </w:r>
    </w:p>
    <w:p>
      <w:pPr/>
      <w:r>
        <w:rPr>
          <w:sz w:val="18"/>
        </w:rPr>
        <w:t xml:space="preserve">DOCUMENT / PARTIES / TERM</w:t>
      </w:r>
    </w:p>
    <w:p>
      <w:pPr>
        <w:pStyle w:val="ListBullet"/>
      </w:pPr>
      <w:r>
        <w:rPr>
          <w:sz w:val="18"/>
        </w:rPr>
        <w:t xml:space="preserve">Master Supply Agreement, Contract No. MSA-2019-0042, dated January 15, 2019.</w:t>
      </w:r>
    </w:p>
    <w:p>
      <w:pPr>
        <w:pStyle w:val="ListBullet"/>
      </w:pPr>
      <w:r>
        <w:rPr>
          <w:sz w:val="18"/>
        </w:rPr>
        <w:t xml:space="preserve">Parties: Northland Refining Corporation (“Buyer”), a Texas corporation, and Apex Industrial Technologies, Inc. (“Supplier”), a Delaware corporation.</w:t>
      </w:r>
    </w:p>
    <w:p>
      <w:pPr>
        <w:pStyle w:val="ListBullet"/>
      </w:pPr>
      <w:r>
        <w:rPr>
          <w:sz w:val="18"/>
        </w:rPr>
        <w:t xml:space="preserve">Initial five-year term expired January 14, 2024. The Agreement automatically renews for successive three-year terms unless either party gives at least 180 days’ prior written non-renewal notice. The first Renewal Term runs January 15, 2024 through January 14, 2027.</w:t>
      </w:r>
    </w:p>
    <w:p>
      <w:pPr>
        <w:pStyle w:val="ListBullet"/>
      </w:pPr>
      <w:r>
        <w:rPr>
          <w:sz w:val="18"/>
        </w:rPr>
        <w:t xml:space="preserve">Either party may terminate for convenience on 12 months’ prior written notice; for uncured material breach after a 60-day cure period; or upon specified insolvency/bankruptcy events.</w:t>
      </w:r>
    </w:p>
    <w:p>
      <w:pPr/>
      <w:r>
        <w:rPr>
          <w:sz w:val="18"/>
        </w:rPr>
        <w:t xml:space="preserve">EXPRESS CHANGE-OF-CONTROL CLAUSE (quote or close paraphrase and section)</w:t>
      </w:r>
    </w:p>
    <w:p>
      <w:pPr>
        <w:pStyle w:val="ListBullet"/>
      </w:pPr>
      <w:r>
        <w:rPr>
          <w:sz w:val="18"/>
        </w:rPr>
        <w:t xml:space="preserve">No provision expressly addresses a change of control, acquisition, merger, sale of stock, or similar ownership transaction.</w:t>
      </w:r>
    </w:p>
    <w:p>
      <w:pPr>
        <w:pStyle w:val="ListBullet"/>
      </w:pPr>
      <w:r>
        <w:rPr>
          <w:sz w:val="18"/>
        </w:rPr>
        <w:t xml:space="preserve">Adjacent provision: Section 14.2 provides that neither party may “assign, transfer, or delegate this Agreement or any of its rights, interests, or obligations,” in whole or in part, “whether by operation of law or otherwise,” without the other party’s prior written consent, which may be withheld in the other party’s “sole and absolute discretion.”</w:t>
      </w:r>
    </w:p>
    <w:p>
      <w:pPr>
        <w:pStyle w:val="ListBullet"/>
      </w:pPr>
      <w:r>
        <w:rPr>
          <w:sz w:val="18"/>
        </w:rPr>
        <w:t xml:space="preserve">Section 14.2 also permits assignment without consent to an Affiliate, subject to 30 days’ written notice and the assigning party remaining jointly and severally liable.</w:t>
      </w:r>
    </w:p>
    <w:p>
      <w:pPr>
        <w:pStyle w:val="ListBullet"/>
      </w:pPr>
      <w:r>
        <w:rPr>
          <w:sz w:val="18"/>
        </w:rPr>
        <w:t xml:space="preserve">Section 14.3 binds the Agreement to the parties’ successors and permitted assigns but does not establish a merger or change-of-control exception.</w:t>
      </w:r>
    </w:p>
    <w:p>
      <w:pPr/>
      <w:r>
        <w:rPr>
          <w:sz w:val="18"/>
        </w:rPr>
        <w:t xml:space="preserve">TRIGGERS AND THRESHOLDS</w:t>
      </w:r>
    </w:p>
    <w:p>
      <w:pPr>
        <w:pStyle w:val="ListBullet"/>
      </w:pPr>
      <w:r>
        <w:rPr>
          <w:sz w:val="18"/>
        </w:rPr>
        <w:t xml:space="preserve">No express ownership-percentage or change-of-control threshold applies.</w:t>
      </w:r>
    </w:p>
    <w:p>
      <w:pPr>
        <w:pStyle w:val="ListBullet"/>
      </w:pPr>
      <w:r>
        <w:rPr>
          <w:sz w:val="18"/>
        </w:rPr>
        <w:t xml:space="preserve">“Affiliate” is defined by control involving direct or indirect ownership of more than 50% of voting securities or equivalent ownership interest, but this definition is not itself a change-of-control trigger.</w:t>
      </w:r>
    </w:p>
    <w:p>
      <w:pPr>
        <w:pStyle w:val="ListBullet"/>
      </w:pPr>
      <w:r>
        <w:rPr>
          <w:sz w:val="18"/>
        </w:rPr>
        <w:t xml:space="preserve">Assignment restrictions apply to transfers “by operation of law or otherwise,” potentially covering a merger or other corporate restructuring.</w:t>
      </w:r>
    </w:p>
    <w:p>
      <w:pPr>
        <w:pStyle w:val="ListBullet"/>
      </w:pPr>
      <w:r>
        <w:rPr>
          <w:sz w:val="18"/>
        </w:rPr>
        <w:t xml:space="preserve">No express trigger for a stock sale, sale of substantially all assets, merger, or consolidation.</w:t>
      </w:r>
    </w:p>
    <w:p>
      <w:pPr>
        <w:pStyle w:val="ListBullet"/>
      </w:pPr>
      <w:r>
        <w:rPr>
          <w:sz w:val="18"/>
        </w:rPr>
        <w:t xml:space="preserve">Insolvency, bankruptcy, general assignment for creditors, or appointment of a receiver or similar officer over all or substantially all assets permits termination for cause under Section 13.3(b), subject to the stated bankruptcy dismissal period.</w:t>
      </w:r>
    </w:p>
    <w:p>
      <w:pPr/>
      <w:r>
        <w:rPr>
          <w:sz w:val="18"/>
        </w:rPr>
        <w:t xml:space="preserve">NOTICE / CONSENT / APPROVAL</w:t>
      </w:r>
    </w:p>
    <w:p>
      <w:pPr>
        <w:pStyle w:val="ListBullet"/>
      </w:pPr>
      <w:r>
        <w:rPr>
          <w:sz w:val="18"/>
        </w:rPr>
        <w:t xml:space="preserve">Any non-permitted assignment, transfer, or delegation requires the other party’s prior written consent; consent may be withheld in the consenting party’s sole and absolute discretion. Section 14.2 does not specify a response deadline.</w:t>
      </w:r>
    </w:p>
    <w:p>
      <w:pPr>
        <w:pStyle w:val="ListBullet"/>
      </w:pPr>
      <w:r>
        <w:rPr>
          <w:sz w:val="18"/>
        </w:rPr>
        <w:t xml:space="preserve">An Affiliate assignment requires written notice within 30 days after the assignment. The Agreement does not expressly require advance notice or consent for that exception.</w:t>
      </w:r>
    </w:p>
    <w:p>
      <w:pPr>
        <w:pStyle w:val="ListBullet"/>
      </w:pPr>
      <w:r>
        <w:rPr>
          <w:sz w:val="18"/>
        </w:rPr>
        <w:t xml:space="preserve">Notices must be in writing and may be delivered personally, by nationally recognized overnight courier, certified or registered mail, or email with confirmation of receipt. Notice addresses are specified in Section 16.1.</w:t>
      </w:r>
    </w:p>
    <w:p>
      <w:pPr>
        <w:pStyle w:val="ListBullet"/>
      </w:pPr>
      <w:r>
        <w:rPr>
          <w:sz w:val="18"/>
        </w:rPr>
        <w:t xml:space="preserve">Amendments or waivers require a writing signed by authorized representatives of both parties under Section 16.3.</w:t>
      </w:r>
    </w:p>
    <w:p>
      <w:pPr/>
      <w:r>
        <w:rPr>
          <w:sz w:val="18"/>
        </w:rPr>
        <w:t xml:space="preserve">CONSEQUENCES</w:t>
      </w:r>
    </w:p>
    <w:p>
      <w:pPr>
        <w:pStyle w:val="ListBullet"/>
      </w:pPr>
      <w:r>
        <w:rPr>
          <w:sz w:val="18"/>
        </w:rPr>
        <w:t xml:space="preserve">An assignment, transfer, or delegation violating Section 14.2 is “null and void and of no force or effect.”</w:t>
      </w:r>
    </w:p>
    <w:p>
      <w:pPr>
        <w:pStyle w:val="ListBullet"/>
      </w:pPr>
      <w:r>
        <w:rPr>
          <w:sz w:val="18"/>
        </w:rPr>
        <w:t xml:space="preserve">For a permitted Affiliate assignment, the assigning party remains jointly and severally liable for all obligations of the assignee.</w:t>
      </w:r>
    </w:p>
    <w:p>
      <w:pPr>
        <w:pStyle w:val="ListBullet"/>
      </w:pPr>
      <w:r>
        <w:rPr>
          <w:sz w:val="18"/>
        </w:rPr>
        <w:t xml:space="preserve">A change in ownership is not expressly stated to permit termination, repricing, consent denial, or other contractual remedy.</w:t>
      </w:r>
    </w:p>
    <w:p>
      <w:pPr>
        <w:pStyle w:val="ListBullet"/>
      </w:pPr>
      <w:r>
        <w:rPr>
          <w:sz w:val="18"/>
        </w:rPr>
        <w:t xml:space="preserve">If a transaction is deemed an unpermitted transfer, the counterparty could assert that the transaction is ineffective as to the Agreement and potentially seek termination or other remedies, although the Agreement does not expressly provide a transaction-specific termination right.</w:t>
      </w:r>
    </w:p>
    <w:p>
      <w:pPr>
        <w:pStyle w:val="ListBullet"/>
      </w:pPr>
      <w:r>
        <w:rPr>
          <w:sz w:val="18"/>
        </w:rPr>
        <w:t xml:space="preserve">General termination economics remain applicable: convenience termination requires 12 months’ notice. Upon Northland’s convenience termination, Northland must accept and pay for accepted Purchase Orders not properly cancelled; upon Apex’s convenience termination, Apex must complete and deliver accepted Purchase Orders.</w:t>
      </w:r>
    </w:p>
    <w:p>
      <w:pPr>
        <w:pStyle w:val="ListBullet"/>
      </w:pPr>
      <w:r>
        <w:rPr>
          <w:sz w:val="18"/>
        </w:rPr>
        <w:t xml:space="preserve">Apex’s aggregate liability is capped at amounts paid by Northland during the preceding 12 months, subject to exceptions for indemnification obligations and confidentiality breaches. The Agreement excludes indirect, incidental, consequential, punitive, special, and exemplary damages, subject to the same exceptions.</w:t>
      </w:r>
    </w:p>
    <w:p>
      <w:pPr/>
      <w:r>
        <w:rPr>
          <w:sz w:val="18"/>
        </w:rPr>
        <w:t xml:space="preserve">EXCEPTIONS / CARVE-OUTS</w:t>
      </w:r>
    </w:p>
    <w:p>
      <w:pPr>
        <w:pStyle w:val="ListBullet"/>
      </w:pPr>
      <w:r>
        <w:rPr>
          <w:sz w:val="18"/>
        </w:rPr>
        <w:t xml:space="preserve">The principal carve-out is assignment to an Affiliate without consent, provided that 30-day post-assignment notice is given and the assigning party remains jointly and severally liable.</w:t>
      </w:r>
    </w:p>
    <w:p>
      <w:pPr>
        <w:pStyle w:val="ListBullet"/>
      </w:pPr>
      <w:r>
        <w:rPr>
          <w:sz w:val="18"/>
        </w:rPr>
        <w:t xml:space="preserve">No express carve-out exists for a merger, consolidation, sale of stock, sale of substantially all assets, internal reorganization, or change in ultimate ownership.</w:t>
      </w:r>
    </w:p>
    <w:p>
      <w:pPr>
        <w:pStyle w:val="ListBullet"/>
      </w:pPr>
      <w:r>
        <w:rPr>
          <w:sz w:val="18"/>
        </w:rPr>
        <w:t xml:space="preserve">Subcontracting is separately addressed: Apex may use listed subcontractors, but requires Northland’s prior written consent for any new subcontractor not listed on Exhibit C. This is not a change-of-control provision.</w:t>
      </w:r>
    </w:p>
    <w:p>
      <w:pPr>
        <w:pStyle w:val="ListBullet"/>
      </w:pPr>
      <w:r>
        <w:rPr>
          <w:sz w:val="18"/>
        </w:rPr>
        <w:t xml:space="preserve">The Agreement’s non-exclusive structure does not alter the assignment restriction.</w:t>
      </w:r>
    </w:p>
    <w:p>
      <w:pPr/>
      <w:r>
        <w:rPr>
          <w:sz w:val="18"/>
        </w:rPr>
        <w:t xml:space="preserve">ASSIGNMENT / TRANSFER / MERGER LANGUAGE</w:t>
      </w:r>
    </w:p>
    <w:p>
      <w:pPr>
        <w:pStyle w:val="ListBullet"/>
      </w:pPr>
      <w:r>
        <w:rPr>
          <w:sz w:val="18"/>
        </w:rPr>
        <w:t xml:space="preserve">Section 14.2 prohibits either party from assigning, transferring, or delegating the Agreement or any rights, interests, or obligations, in whole or in part, “whether by operation of law or otherwise,” without prior written consent, which may be withheld in sole and absolute discretion.</w:t>
      </w:r>
    </w:p>
    <w:p>
      <w:pPr>
        <w:pStyle w:val="ListBullet"/>
      </w:pPr>
      <w:r>
        <w:rPr>
          <w:sz w:val="18"/>
        </w:rPr>
        <w:t xml:space="preserve">Any prohibited assignment, transfer, or delegation is null and void.</w:t>
      </w:r>
    </w:p>
    <w:p>
      <w:pPr>
        <w:pStyle w:val="ListBullet"/>
      </w:pPr>
      <w:r>
        <w:rPr>
          <w:sz w:val="18"/>
        </w:rPr>
        <w:t xml:space="preserve">Affiliate assignments are permitted without consent with 30 days’ notice and continuing joint and several liability of the assignor.</w:t>
      </w:r>
    </w:p>
    <w:p>
      <w:pPr>
        <w:pStyle w:val="ListBullet"/>
      </w:pPr>
      <w:r>
        <w:rPr>
          <w:sz w:val="18"/>
        </w:rPr>
        <w:t xml:space="preserve">Section 14.3 provides that, subject to Article 14, the Agreement binds and benefits the parties and their “successors and permitted assigns.”</w:t>
      </w:r>
    </w:p>
    <w:p>
      <w:pPr>
        <w:pStyle w:val="ListBullet"/>
      </w:pPr>
      <w:r>
        <w:rPr>
          <w:sz w:val="18"/>
        </w:rPr>
        <w:t xml:space="preserve">The Agreement contains no express merger, consolidation, stock-transfer, or sale-of-assets language.</w:t>
      </w:r>
    </w:p>
    <w:p>
      <w:pPr/>
      <w:r>
        <w:rPr>
          <w:sz w:val="18"/>
        </w:rPr>
        <w:t xml:space="preserve">STOCK DEAL RISK</w:t>
      </w:r>
    </w:p>
    <w:p>
      <w:pPr>
        <w:pStyle w:val="ListBullet"/>
      </w:pPr>
      <w:r>
        <w:rPr>
          <w:sz w:val="18"/>
        </w:rPr>
        <w:t xml:space="preserve">No express change-of-control clause means a stock acquisition is not expressly identified as a consent or termination event.</w:t>
      </w:r>
    </w:p>
    <w:p>
      <w:pPr>
        <w:pStyle w:val="ListBullet"/>
      </w:pPr>
      <w:r>
        <w:rPr>
          <w:sz w:val="18"/>
        </w:rPr>
        <w:t xml:space="preserve">However, the broad “by operation of law or otherwise” language could create argument that a stock transaction involving a legal-entity change, merger, or similar restructuring constitutes a restricted transfer.</w:t>
      </w:r>
    </w:p>
    <w:p>
      <w:pPr>
        <w:pStyle w:val="ListBullet"/>
      </w:pPr>
      <w:r>
        <w:rPr>
          <w:sz w:val="18"/>
        </w:rPr>
        <w:t xml:space="preserve">A simple sale of shares that leaves the contracting entity unchanged is not expressly prohibited or made subject to consent based on the supplied text.</w:t>
      </w:r>
    </w:p>
    <w:p>
      <w:pPr>
        <w:pStyle w:val="ListBullet"/>
      </w:pPr>
      <w:r>
        <w:rPr>
          <w:sz w:val="18"/>
        </w:rPr>
        <w:t xml:space="preserve">The more-than-50% control concept in the Affiliate definition does not independently trigger consent or termination.</w:t>
      </w:r>
    </w:p>
    <w:p>
      <w:pPr>
        <w:pStyle w:val="ListBullet"/>
      </w:pPr>
      <w:r>
        <w:rPr>
          <w:sz w:val="18"/>
        </w:rPr>
        <w:t xml:space="preserve">Counterparty risk is therefore primarily interpretive: Northland or Apex could contend that a transaction changes the contracting party’s control or results in a prohibited transfer, while the Agreement provides no express resolution.</w:t>
      </w:r>
    </w:p>
    <w:p>
      <w:pPr/>
      <w:r>
        <w:rPr>
          <w:sz w:val="18"/>
        </w:rPr>
        <w:t xml:space="preserve">ASSET DEAL RISK</w:t>
      </w:r>
    </w:p>
    <w:p>
      <w:pPr>
        <w:pStyle w:val="ListBullet"/>
      </w:pPr>
      <w:r>
        <w:rPr>
          <w:sz w:val="18"/>
        </w:rPr>
        <w:t xml:space="preserve">High contractual risk. A sale or transfer of the Agreement, relevant assets, or business by operation of law or otherwise could constitute an assignment or transfer requiring prior written consent.</w:t>
      </w:r>
    </w:p>
    <w:p>
      <w:pPr>
        <w:pStyle w:val="ListBullet"/>
      </w:pPr>
      <w:r>
        <w:rPr>
          <w:sz w:val="18"/>
        </w:rPr>
        <w:t xml:space="preserve">Consent may be withheld in the counterparty’s sole and absolute discretion, and an unapproved transfer is expressly null and void.</w:t>
      </w:r>
    </w:p>
    <w:p>
      <w:pPr>
        <w:pStyle w:val="ListBullet"/>
      </w:pPr>
      <w:r>
        <w:rPr>
          <w:sz w:val="18"/>
        </w:rPr>
        <w:t xml:space="preserve">The Affiliate exception may be available only where the transferee qualifies as an Affiliate and the assigning party provides notice within 30 days and remains jointly and severally liable.</w:t>
      </w:r>
    </w:p>
    <w:p>
      <w:pPr>
        <w:pStyle w:val="ListBullet"/>
      </w:pPr>
      <w:r>
        <w:rPr>
          <w:sz w:val="18"/>
        </w:rPr>
        <w:t xml:space="preserve">The Agreement does not expressly permit assumption by an asset purchaser or provide a sale-of-substantially-all-assets exception.</w:t>
      </w:r>
    </w:p>
    <w:p>
      <w:pPr/>
      <w:r>
        <w:rPr>
          <w:sz w:val="18"/>
        </w:rPr>
        <w:t xml:space="preserve">MITIGATION</w:t>
      </w:r>
    </w:p>
    <w:p>
      <w:pPr>
        <w:pStyle w:val="ListBullet"/>
      </w:pPr>
      <w:r>
        <w:rPr>
          <w:sz w:val="18"/>
        </w:rPr>
        <w:t xml:space="preserve">Obtain the counterparty’s advance written consent to the proposed transaction and expressly identify any stock sale, merger, consolidation, asset transfer, or post-closing assignment covered by the consent.</w:t>
      </w:r>
    </w:p>
    <w:p>
      <w:pPr>
        <w:pStyle w:val="ListBullet"/>
      </w:pPr>
      <w:r>
        <w:rPr>
          <w:sz w:val="18"/>
        </w:rPr>
        <w:t xml:space="preserve">If relying on the Affiliate exception, confirm the transferee satisfies the more-than-50% control definition, provide written notice within 30 days after assignment, and preserve the assignor’s joint and several liability.</w:t>
      </w:r>
    </w:p>
    <w:p>
      <w:pPr>
        <w:pStyle w:val="ListBullet"/>
      </w:pPr>
      <w:r>
        <w:rPr>
          <w:sz w:val="18"/>
        </w:rPr>
        <w:t xml:space="preserve">Seek a written amendment or consent clarifying that the transaction does not constitute a prohibited assignment, or expressly waiving Section 14.2 for the transaction; amendments require signatures of authorized representatives of both parties.</w:t>
      </w:r>
    </w:p>
    <w:p>
      <w:pPr>
        <w:pStyle w:val="ListBullet"/>
      </w:pPr>
      <w:r>
        <w:rPr>
          <w:sz w:val="18"/>
        </w:rPr>
        <w:t xml:space="preserve">Confirm treatment of all outstanding Purchase Orders, including Northland’s payment/acceptance obligations and Apex’s completion/delivery obligations if convenience termination is exercised.</w:t>
      </w:r>
    </w:p>
    <w:p>
      <w:pPr>
        <w:pStyle w:val="ListBullet"/>
      </w:pPr>
      <w:r>
        <w:rPr>
          <w:sz w:val="18"/>
        </w:rPr>
        <w:t xml:space="preserve">Review renewal timing: the current Renewal Term expires January 14, 2027, and non-renewal notice must be given at least 180 days before expiration.</w:t>
      </w:r>
    </w:p>
    <w:p>
      <w:pPr>
        <w:pStyle w:val="ListBullet"/>
      </w:pPr>
      <w:r>
        <w:rPr>
          <w:sz w:val="18"/>
        </w:rPr>
        <w:t xml:space="preserve">Confirm no insolvency or bankruptcy-related termination trigger will arise from the transaction and obtain appropriate successor-performance and liability assurances.</w:t>
      </w:r>
    </w:p>
    <w:p>
      <w:pPr>
        <w:r>
          <w:br w:type="page"/>
        </w:r>
      </w:pPr>
      <w:r>
        <w:rPr>
          <w:sz w:val="20"/>
        </w:rPr>
        <w:t xml:space="preserve"/>
      </w:r>
    </w:p>
    <w:p>
      <w:pPr>
        <w:pStyle w:val="Heading1"/>
      </w:pPr>
      <w:r>
        <w:rPr>
          <w:b/>
          <w:color w:val="1F4E79"/>
          <w:sz w:val="32"/>
        </w:rPr>
        <w:t xml:space="preserve">11. Pacwest Supply Agreement</w:t>
      </w:r>
    </w:p>
    <w:p>
      <w:pPr/>
      <w:r>
        <w:rPr>
          <w:i/>
          <w:color w:val="666666"/>
          <w:sz w:val="18"/>
        </w:rPr>
        <w:t xml:space="preserve">Source file: pacwest-supply-agreement.docx.txt</w:t>
      </w:r>
    </w:p>
    <w:p>
      <w:pPr/>
      <w:r>
        <w:rPr>
          <w:sz w:val="18"/>
        </w:rPr>
        <w:t xml:space="preserve">DOCUMENT / PARTIES / TERM</w:t>
      </w:r>
    </w:p>
    <w:p>
      <w:pPr/>
      <w:r>
        <w:rPr>
          <w:sz w:val="18"/>
        </w:rPr>
        <w:t xml:space="preserve">Supply Agreement, Contract No. PWA-SUP-2021-117, effective June 1, 2021, between PacWest Water Authority (“Authority” or “PacWest”), a California municipal authority, and Apex Industrial Technologies, Inc. (“Supplier” or “Apex”), a Delaware corporation. Initial five-year term expires May 31, 2026, unless earlier terminated; automatically renews for successive one-year periods unless either party gives at least 180 days’ written non-renewal notice.</w:t>
      </w:r>
    </w:p>
    <w:p>
      <w:pPr/>
      <w:r>
        <w:rPr>
          <w:sz w:val="18"/>
        </w:rPr>
        <w:t xml:space="preserve">EXPRESS CHANGE-OF-CONTROL CLAUSE (quote or close paraphrase and section)</w:t>
      </w:r>
    </w:p>
    <w:p>
      <w:pPr/>
      <w:r>
        <w:rPr>
          <w:sz w:val="18"/>
        </w:rPr>
        <w:t xml:space="preserve">Section 10.5—Termination upon Change of Control: Apex must notify PacWest of any Change of Control within 10 business days after consummation, including the transaction, acquiring entity or new controlling persons, and anticipated performance impact. Upon notice, or upon otherwise learning of the Change of Control, PacWest may, in its sole discretion, either consent to continuation with the successor/reconstituted Supplier or terminate the Agreement on 90 days’ written notice. If PacWest’s consent is not obtained within 60 days after closing, PacWest may terminate at any time thereafter; failure to respond is not consent or waiver. Apex or its successor must continue performing during the notice period.</w:t>
      </w:r>
    </w:p>
    <w:p>
      <w:pPr/>
      <w:r>
        <w:rPr>
          <w:sz w:val="18"/>
        </w:rPr>
        <w:t xml:space="preserve">“Change of Control” is defined in Section 1.1(c) to include: (i) any merger, consolidation, or reorganization of Apex with or into another entity; (ii) sale or transfer of all or substantially all Apex assets; (iii) a transaction or related transactions causing any person or group to acquire beneficial ownership of more than 50% of Apex’s outstanding voting securities; or (iv) any direct or indirect change in Apex’s ultimate ownership or control.</w:t>
      </w:r>
    </w:p>
    <w:p>
      <w:pPr/>
      <w:r>
        <w:rPr>
          <w:sz w:val="18"/>
        </w:rPr>
        <w:t xml:space="preserve">TRIGGERS AND THRESHOLDS</w:t>
      </w:r>
    </w:p>
    <w:p>
      <w:pPr>
        <w:pStyle w:val="ListBullet"/>
      </w:pPr>
      <w:r>
        <w:rPr>
          <w:sz w:val="18"/>
        </w:rPr>
        <w:t xml:space="preserve">Any merger, consolidation, or reorganization involving Apex.</w:t>
      </w:r>
    </w:p>
    <w:p>
      <w:pPr>
        <w:pStyle w:val="ListBullet"/>
      </w:pPr>
      <w:r>
        <w:rPr>
          <w:sz w:val="18"/>
        </w:rPr>
        <w:t xml:space="preserve">Sale or transfer of all or substantially all Apex assets.</w:t>
      </w:r>
    </w:p>
    <w:p>
      <w:pPr>
        <w:pStyle w:val="ListBullet"/>
      </w:pPr>
      <w:r>
        <w:rPr>
          <w:sz w:val="18"/>
        </w:rPr>
        <w:t xml:space="preserve">Acquisition by any person or group of more than 50% of Apex’s outstanding voting securities.</w:t>
      </w:r>
    </w:p>
    <w:p>
      <w:pPr>
        <w:pStyle w:val="ListBullet"/>
      </w:pPr>
      <w:r>
        <w:rPr>
          <w:sz w:val="18"/>
        </w:rPr>
        <w:t xml:space="preserve">Any direct or indirect change in ultimate ownership or control, potentially broader than the specific merger, asset-sale, and &gt;50% voting-ownership triggers.</w:t>
      </w:r>
    </w:p>
    <w:p>
      <w:pPr>
        <w:pStyle w:val="ListBullet"/>
      </w:pPr>
      <w:r>
        <w:rPr>
          <w:sz w:val="18"/>
        </w:rPr>
        <w:t xml:space="preserve">The definition does not state a materiality threshold, provide a change-in-management exception, or distinguish internal reorganizations.</w:t>
      </w:r>
    </w:p>
    <w:p>
      <w:pPr>
        <w:pStyle w:val="ListBullet"/>
      </w:pPr>
      <w:r>
        <w:rPr>
          <w:sz w:val="18"/>
        </w:rPr>
        <w:t xml:space="preserve">A Change of Control is expressly subject to Section 10.5 rather than treated as an assignment under Section 12.2.</w:t>
      </w:r>
    </w:p>
    <w:p>
      <w:pPr/>
      <w:r>
        <w:rPr>
          <w:sz w:val="18"/>
        </w:rPr>
        <w:t xml:space="preserve">NOTICE / CONSENT / APPROVAL</w:t>
      </w:r>
    </w:p>
    <w:p>
      <w:pPr>
        <w:pStyle w:val="ListBullet"/>
      </w:pPr>
      <w:r>
        <w:rPr>
          <w:sz w:val="18"/>
        </w:rPr>
        <w:t xml:space="preserve">Apex must provide written notice within 10 business days after consummation.</w:t>
      </w:r>
    </w:p>
    <w:p>
      <w:pPr>
        <w:pStyle w:val="ListBullet"/>
      </w:pPr>
      <w:r>
        <w:rPr>
          <w:sz w:val="18"/>
        </w:rPr>
        <w:t xml:space="preserve">Notice must identify and describe the transaction, the acquirer or new controlling person(s), and anticipated effects on Apex’s performance.</w:t>
      </w:r>
    </w:p>
    <w:p>
      <w:pPr>
        <w:pStyle w:val="ListBullet"/>
      </w:pPr>
      <w:r>
        <w:rPr>
          <w:sz w:val="18"/>
        </w:rPr>
        <w:t xml:space="preserve">PacWest has sole discretion to consent to continuation or terminate.</w:t>
      </w:r>
    </w:p>
    <w:p>
      <w:pPr>
        <w:pStyle w:val="ListBullet"/>
      </w:pPr>
      <w:r>
        <w:rPr>
          <w:sz w:val="18"/>
        </w:rPr>
        <w:t xml:space="preserve">Consent must be obtained within 60 days after closing to avoid PacWest’s continuing termination right; silence does not constitute consent.</w:t>
      </w:r>
    </w:p>
    <w:p>
      <w:pPr>
        <w:pStyle w:val="ListBullet"/>
      </w:pPr>
      <w:r>
        <w:rPr>
          <w:sz w:val="18"/>
        </w:rPr>
        <w:t xml:space="preserve">If PacWest terminates, it must provide 90 days’ written notice to Apex or its successor.</w:t>
      </w:r>
    </w:p>
    <w:p>
      <w:pPr>
        <w:pStyle w:val="ListBullet"/>
      </w:pPr>
      <w:r>
        <w:rPr>
          <w:sz w:val="18"/>
        </w:rPr>
        <w:t xml:space="preserve">Notices must be in writing and delivered by hand, nationally recognized overnight courier, or certified U.S. mail under Section 16.1; effective upon receipt.</w:t>
      </w:r>
    </w:p>
    <w:p>
      <w:pPr>
        <w:pStyle w:val="ListBullet"/>
      </w:pPr>
      <w:r>
        <w:rPr>
          <w:sz w:val="18"/>
        </w:rPr>
        <w:t xml:space="preserve">Separately, Apex may not assign the Agreement without PacWest’s prior written consent, which may be withheld in PacWest’s sole discretion. PacWest may assign to a successor municipal authority, governmental entity, or agency without Apex’s consent, provided notice is given within 30 days.</w:t>
      </w:r>
    </w:p>
    <w:p>
      <w:pPr/>
      <w:r>
        <w:rPr>
          <w:sz w:val="18"/>
        </w:rPr>
        <w:t xml:space="preserve">CONSEQUENCES</w:t>
      </w:r>
    </w:p>
    <w:p>
      <w:pPr>
        <w:pStyle w:val="ListBullet"/>
      </w:pPr>
      <w:r>
        <w:rPr>
          <w:sz w:val="18"/>
        </w:rPr>
        <w:t xml:space="preserve">PacWest may allow the Agreement to continue with the successor entity or reconstituted Apex.</w:t>
      </w:r>
    </w:p>
    <w:p>
      <w:pPr>
        <w:pStyle w:val="ListBullet"/>
      </w:pPr>
      <w:r>
        <w:rPr>
          <w:sz w:val="18"/>
        </w:rPr>
        <w:t xml:space="preserve">Alternatively, PacWest may terminate on 90 days’ written notice, including after the 60-day post-closing period if consent has not been obtained.</w:t>
      </w:r>
    </w:p>
    <w:p>
      <w:pPr>
        <w:pStyle w:val="ListBullet"/>
      </w:pPr>
      <w:r>
        <w:rPr>
          <w:sz w:val="18"/>
        </w:rPr>
        <w:t xml:space="preserve">During any Section 10.5 notice period, Apex or its successor must continue fulfilling all outstanding Purchase Orders and may not diminish product quality, availability, or timeliness.</w:t>
      </w:r>
    </w:p>
    <w:p>
      <w:pPr>
        <w:pStyle w:val="ListBullet"/>
      </w:pPr>
      <w:r>
        <w:rPr>
          <w:sz w:val="18"/>
        </w:rPr>
        <w:t xml:space="preserve">Accepted Purchase Orders existing before the termination notice must be fulfilled under Section 10.6.</w:t>
      </w:r>
    </w:p>
    <w:p>
      <w:pPr>
        <w:pStyle w:val="ListBullet"/>
      </w:pPr>
      <w:r>
        <w:rPr>
          <w:sz w:val="18"/>
        </w:rPr>
        <w:t xml:space="preserve">No Change-of-Control termination fee, buyout, acceleration, minimum-volume payment, or other transaction-specific payment is stated.</w:t>
      </w:r>
    </w:p>
    <w:p>
      <w:pPr>
        <w:pStyle w:val="ListBullet"/>
      </w:pPr>
      <w:r>
        <w:rPr>
          <w:sz w:val="18"/>
        </w:rPr>
        <w:t xml:space="preserve">If PacWest instead exercises its general termination-for-convenience right, it must provide 120 days’ notice and pay for accepted Products plus documented, reasonable work-in-progress costs committed as of notice, capped at the value of the most recent quarterly forecast.</w:t>
      </w:r>
    </w:p>
    <w:p>
      <w:pPr>
        <w:pStyle w:val="ListBullet"/>
      </w:pPr>
      <w:r>
        <w:rPr>
          <w:sz w:val="18"/>
        </w:rPr>
        <w:t xml:space="preserve">Warranties, intellectual property, confidentiality, indemnification/liability, governing-law provisions, and other provisions intended by their nature to survive remain in effect after termination.</w:t>
      </w:r>
    </w:p>
    <w:p>
      <w:pPr/>
      <w:r>
        <w:rPr>
          <w:sz w:val="18"/>
        </w:rPr>
        <w:t xml:space="preserve">EXCEPTIONS / CARVE-OUTS</w:t>
      </w:r>
    </w:p>
    <w:p>
      <w:pPr>
        <w:pStyle w:val="ListBullet"/>
      </w:pPr>
      <w:r>
        <w:rPr>
          <w:sz w:val="18"/>
        </w:rPr>
        <w:t xml:space="preserve">No express exceptions or safe harbors are provided for internal reorganizations, affiliate transactions, estate planning, reorganizations involving existing owners, or changes that do not affect operational control.</w:t>
      </w:r>
    </w:p>
    <w:p>
      <w:pPr>
        <w:pStyle w:val="ListBullet"/>
      </w:pPr>
      <w:r>
        <w:rPr>
          <w:sz w:val="18"/>
        </w:rPr>
        <w:t xml:space="preserve">A Change of Control is not deemed an assignment for Section 12.2 purposes, but remains subject to the notice and consent requirements of Section 10.5.</w:t>
      </w:r>
    </w:p>
    <w:p>
      <w:pPr>
        <w:pStyle w:val="ListBullet"/>
      </w:pPr>
      <w:r>
        <w:rPr>
          <w:sz w:val="18"/>
        </w:rPr>
        <w:t xml:space="preserve">The Agreement does not provide that consent may be withheld only for reasonable grounds or performance-related concerns.</w:t>
      </w:r>
    </w:p>
    <w:p>
      <w:pPr>
        <w:pStyle w:val="ListBullet"/>
      </w:pPr>
      <w:r>
        <w:rPr>
          <w:sz w:val="18"/>
        </w:rPr>
        <w:t xml:space="preserve">PacWest’s assignment right is limited to a successor municipal authority, governmental entity, or agency and requires notice within 30 days.</w:t>
      </w:r>
    </w:p>
    <w:p>
      <w:pPr/>
      <w:r>
        <w:rPr>
          <w:sz w:val="18"/>
        </w:rPr>
        <w:t xml:space="preserve">ASSIGNMENT / TRANSFER / MERGER LANGUAGE</w:t>
      </w:r>
    </w:p>
    <w:p>
      <w:pPr/>
      <w:r>
        <w:rPr>
          <w:sz w:val="18"/>
        </w:rPr>
        <w:t xml:space="preserve">Section 12.2 prohibits Apex from assigning the Agreement or any rights or obligations, by operation of law or otherwise, without PacWest’s prior written consent, which may be withheld in PacWest’s sole discretion; an attempted prohibited assignment is null and void. However, a defined Change of Control is not treated as an assignment and instead follows Section 10.5. Section 1.1(c) separately expressly includes mergers, consolidations, reorganizations, and asset transfers in the Change-of-Control definition. Section 12.3 binds permitted successors and assigns.</w:t>
      </w:r>
    </w:p>
    <w:p>
      <w:pPr/>
      <w:r>
        <w:rPr>
          <w:sz w:val="18"/>
        </w:rPr>
        <w:t xml:space="preserve">STOCK DEAL RISK</w:t>
      </w:r>
    </w:p>
    <w:p>
      <w:pPr/>
      <w:r>
        <w:rPr>
          <w:sz w:val="18"/>
        </w:rPr>
        <w:t xml:space="preserve">A stock acquisition resulting in a person or group acquiring more than 50% of Apex’s voting securities expressly triggers Section 10.5. A direct or indirect change in ultimate ownership or control may trigger the clause even if the transaction does not cross the 50% threshold. PacWest may withhold consent in its sole discretion or terminate on 90 days’ notice. The provision does not limit termination to transactions that impair performance and does not provide a cure, matching right, or termination payment. Failure by Apex to provide notice within 10 business days creates a compliance risk, although the text does not specify an additional remedy for late notice.</w:t>
      </w:r>
    </w:p>
    <w:p>
      <w:pPr/>
      <w:r>
        <w:rPr>
          <w:sz w:val="18"/>
        </w:rPr>
        <w:t xml:space="preserve">ASSET DEAL RISK</w:t>
      </w:r>
    </w:p>
    <w:p>
      <w:pPr/>
      <w:r>
        <w:rPr>
          <w:sz w:val="18"/>
        </w:rPr>
        <w:t xml:space="preserve">A sale or transfer of all or substantially all Apex assets expressly triggers Section 10.5. A transaction involving less than substantially all assets is not expressly covered unless it produces a direct or indirect change in ultimate ownership or control. Any attempted transfer of the Agreement or contractual obligations may independently violate Section 12.2 unless PacWest consents, although a qualifying Change of Control is governed by Section 10.5 rather than treated as an assignment. PacWest may terminate on 90 days’ notice, with no stated transaction-specific compensation.</w:t>
      </w:r>
    </w:p>
    <w:p>
      <w:pPr/>
      <w:r>
        <w:rPr>
          <w:sz w:val="18"/>
        </w:rPr>
        <w:t xml:space="preserve">MITIGATION</w:t>
      </w:r>
    </w:p>
    <w:p>
      <w:pPr>
        <w:pStyle w:val="ListBullet"/>
      </w:pPr>
      <w:r>
        <w:rPr>
          <w:sz w:val="18"/>
        </w:rPr>
        <w:t xml:space="preserve">Obtain PacWest’s written consent before closing, notwithstanding the post-closing 10-business-day notice provision, and seek written confirmation that consent is effective under Section 10.5.</w:t>
      </w:r>
    </w:p>
    <w:p>
      <w:pPr>
        <w:pStyle w:val="ListBullet"/>
      </w:pPr>
      <w:r>
        <w:rPr>
          <w:sz w:val="18"/>
        </w:rPr>
        <w:t xml:space="preserve">Provide complete transaction details, acquirer identity, ownership/control information, and a performance-continuity plan.</w:t>
      </w:r>
    </w:p>
    <w:p>
      <w:pPr>
        <w:pStyle w:val="ListBullet"/>
      </w:pPr>
      <w:r>
        <w:rPr>
          <w:sz w:val="18"/>
        </w:rPr>
        <w:t xml:space="preserve">Confirm whether the transaction could constitute a direct or indirect ultimate-control change even if it does not involve a merger, asset sale, or acquisition of more than 50% of voting securities.</w:t>
      </w:r>
    </w:p>
    <w:p>
      <w:pPr>
        <w:pStyle w:val="ListBullet"/>
      </w:pPr>
      <w:r>
        <w:rPr>
          <w:sz w:val="18"/>
        </w:rPr>
        <w:t xml:space="preserve">Preserve Apex’s manufacturing capacity, quality, availability, delivery performance, regulatory compliance, insurance, and ability to fulfill all outstanding Purchase Orders during any review or termination period.</w:t>
      </w:r>
    </w:p>
    <w:p>
      <w:pPr>
        <w:pStyle w:val="ListBullet"/>
      </w:pPr>
      <w:r>
        <w:rPr>
          <w:sz w:val="18"/>
        </w:rPr>
        <w:t xml:space="preserve">Seek an amendment or waiver addressing internal reorganizations, affiliate transfers, changes in management, indirect ownership changes, and any desired consent standard or termination compensation.</w:t>
      </w:r>
    </w:p>
    <w:p>
      <w:pPr>
        <w:pStyle w:val="ListBullet"/>
      </w:pPr>
      <w:r>
        <w:rPr>
          <w:sz w:val="18"/>
        </w:rPr>
        <w:t xml:space="preserve">Identify and quantify accepted Purchase Orders and committed work-in-progress, recognizing that the Agreement requires fulfillment of accepted Purchase Orders and provides a termination-for-convenience payment formula only if PacWest uses Section 10.4.</w:t>
      </w:r>
    </w:p>
    <w:p>
      <w:pPr>
        <w:r>
          <w:br w:type="page"/>
        </w:r>
      </w:pPr>
      <w:r>
        <w:rPr>
          <w:sz w:val="20"/>
        </w:rPr>
        <w:t xml:space="preserve"/>
      </w:r>
    </w:p>
    <w:p>
      <w:pPr>
        <w:pStyle w:val="Heading1"/>
      </w:pPr>
      <w:r>
        <w:rPr>
          <w:b/>
          <w:color w:val="1F4E79"/>
          <w:sz w:val="32"/>
        </w:rPr>
        <w:t xml:space="preserve">12. Product Liability Policy</w:t>
      </w:r>
    </w:p>
    <w:p>
      <w:pPr/>
      <w:r>
        <w:rPr>
          <w:i/>
          <w:color w:val="666666"/>
          <w:sz w:val="18"/>
        </w:rPr>
        <w:t xml:space="preserve">Source file: product-liability-policy.docx.txt</w:t>
      </w:r>
    </w:p>
    <w:p>
      <w:pPr/>
      <w:r>
        <w:rPr>
          <w:sz w:val="18"/>
        </w:rPr>
        <w:t xml:space="preserve">DOCUMENT / PARTIES / TERM</w:t>
      </w:r>
    </w:p>
    <w:p>
      <w:pPr>
        <w:pStyle w:val="ListBullet"/>
      </w:pPr>
      <w:r>
        <w:rPr>
          <w:sz w:val="18"/>
        </w:rPr>
        <w:t xml:space="preserve">Products Liability and Completed Operations Liability Insurance Policy No. GLI-PL-2024-07823.</w:t>
      </w:r>
    </w:p>
    <w:p>
      <w:pPr>
        <w:pStyle w:val="ListBullet"/>
      </w:pPr>
      <w:r>
        <w:rPr>
          <w:sz w:val="18"/>
        </w:rPr>
        <w:t xml:space="preserve">Insurer: Great Lakes Indemnity Company. Named insured: Apex Industrial Technologies, Inc.; Schedule C also includes Apex-Kenji Precision JV, LLC, subject to limited product-related coverage.</w:t>
      </w:r>
    </w:p>
    <w:p>
      <w:pPr>
        <w:pStyle w:val="ListBullet"/>
      </w:pPr>
      <w:r>
        <w:rPr>
          <w:sz w:val="18"/>
        </w:rPr>
        <w:t xml:space="preserve">Policy period: October 1, 2024 at 12:01 a.m. through September 30, 2025 at 12:01 a.m. Central Time. Retroactive date: January 1, 2010.</w:t>
      </w:r>
    </w:p>
    <w:p>
      <w:pPr>
        <w:pStyle w:val="ListBullet"/>
      </w:pPr>
      <w:r>
        <w:rPr>
          <w:sz w:val="18"/>
        </w:rPr>
        <w:t xml:space="preserve">Limits: $5,000,000 each occurrence; $25,000,000 products-completed operations aggregate; $25,000,000 general aggregate. Deductible/self-insured retention: $100,000 per occurrence.</w:t>
      </w:r>
    </w:p>
    <w:p>
      <w:pPr>
        <w:pStyle w:val="ListBullet"/>
      </w:pPr>
      <w:r>
        <w:rPr>
          <w:sz w:val="18"/>
        </w:rPr>
        <w:t xml:space="preserve">Annual premium: $487,500, payable in quarterly installments of $121,875. Premium is subject to audit and adjustment.</w:t>
      </w:r>
    </w:p>
    <w:p>
      <w:pPr/>
      <w:r>
        <w:rPr>
          <w:sz w:val="18"/>
        </w:rPr>
        <w:t xml:space="preserve">EXPRESS CHANGE-OF-CONTROL CLAUSE (quote or close paraphrase and section)</w:t>
      </w:r>
    </w:p>
    <w:p>
      <w:pPr>
        <w:pStyle w:val="ListBullet"/>
      </w:pPr>
      <w:r>
        <w:rPr>
          <w:sz w:val="18"/>
        </w:rPr>
        <w:t xml:space="preserve">Section II defines “Change of Control” as: (a) acquisition by any person, entity, or group of 50% or more of the Named Insured’s outstanding voting securities; (b) a merger, consolidation, amalgamation, or statutory share exchange in which the Named Insured is not the surviving entity, or survives but its pre-transaction voting holders own less than 50% of the surviving entity immediately afterward; (c) sale, lease, exchange, or other transfer of all or substantially all assets; or (d) any transaction or related series resulting in a change in the ultimate controlling person or entity.</w:t>
      </w:r>
    </w:p>
    <w:p>
      <w:pPr>
        <w:pStyle w:val="ListBullet"/>
      </w:pPr>
      <w:r>
        <w:rPr>
          <w:sz w:val="18"/>
        </w:rPr>
        <w:t xml:space="preserve">Section IV.F.1 provides that, upon a Change of Control, the Policy “shall automatically” convert to a Run-Off Basis effective on the date of the Change of Control, without notice to or action by the Insurer.</w:t>
      </w:r>
    </w:p>
    <w:p>
      <w:pPr/>
      <w:r>
        <w:rPr>
          <w:sz w:val="18"/>
        </w:rPr>
        <w:t xml:space="preserve">TRIGGERS AND THRESHOLDS</w:t>
      </w:r>
    </w:p>
    <w:p>
      <w:pPr>
        <w:pStyle w:val="ListBullet"/>
      </w:pPr>
      <w:r>
        <w:rPr>
          <w:sz w:val="18"/>
        </w:rPr>
        <w:t xml:space="preserve">Stock acquisition: beneficial ownership of 50% or more of outstanding voting securities.</w:t>
      </w:r>
    </w:p>
    <w:p>
      <w:pPr>
        <w:pStyle w:val="ListBullet"/>
      </w:pPr>
      <w:r>
        <w:rPr>
          <w:sz w:val="18"/>
        </w:rPr>
        <w:t xml:space="preserve">Merger or similar transaction: the Named Insured is not the survivor, or its pre-transaction voting holders own less than 50% of the surviving entity after closing.</w:t>
      </w:r>
    </w:p>
    <w:p>
      <w:pPr>
        <w:pStyle w:val="ListBullet"/>
      </w:pPr>
      <w:r>
        <w:rPr>
          <w:sz w:val="18"/>
        </w:rPr>
        <w:t xml:space="preserve">Asset transaction: transfer of all or substantially all assets.</w:t>
      </w:r>
    </w:p>
    <w:p>
      <w:pPr>
        <w:pStyle w:val="ListBullet"/>
      </w:pPr>
      <w:r>
        <w:rPr>
          <w:sz w:val="18"/>
        </w:rPr>
        <w:t xml:space="preserve">Catch-all: any transaction or related transactions changing the ultimate controlling person or entity.</w:t>
      </w:r>
    </w:p>
    <w:p>
      <w:pPr>
        <w:pStyle w:val="ListBullet"/>
      </w:pPr>
      <w:r>
        <w:rPr>
          <w:sz w:val="18"/>
        </w:rPr>
        <w:t xml:space="preserve">The trigger applies during the Policy Period and is not conditioned on Insurer approval.</w:t>
      </w:r>
    </w:p>
    <w:p>
      <w:pPr/>
      <w:r>
        <w:rPr>
          <w:sz w:val="18"/>
        </w:rPr>
        <w:t xml:space="preserve">NOTICE / CONSENT / APPROVAL</w:t>
      </w:r>
    </w:p>
    <w:p>
      <w:pPr>
        <w:pStyle w:val="ListBullet"/>
      </w:pPr>
      <w:r>
        <w:rPr>
          <w:sz w:val="18"/>
        </w:rPr>
        <w:t xml:space="preserve">The Named Insured must notify the Insurer in writing within 15 days after the effective date of the Change of Control. Late notice does not prevent automatic conversion, but the Insurer may void coverage for a Claim if its investigation or defense was prejudiced.</w:t>
      </w:r>
    </w:p>
    <w:p>
      <w:pPr>
        <w:pStyle w:val="ListBullet"/>
      </w:pPr>
      <w:r>
        <w:rPr>
          <w:sz w:val="18"/>
        </w:rPr>
        <w:t xml:space="preserve">No prior notice or consent from the Insurer is required for the automatic Run-Off conversion.</w:t>
      </w:r>
    </w:p>
    <w:p>
      <w:pPr>
        <w:pStyle w:val="ListBullet"/>
      </w:pPr>
      <w:r>
        <w:rPr>
          <w:sz w:val="18"/>
        </w:rPr>
        <w:t xml:space="preserve">Separately, assignment or transfer of the Policy or rights under it requires the Insurer’s prior written consent, which may be withheld in the Insurer’s sole and absolute discretion; an unauthorized transfer is void.</w:t>
      </w:r>
    </w:p>
    <w:p>
      <w:pPr>
        <w:pStyle w:val="ListBullet"/>
      </w:pPr>
      <w:r>
        <w:rPr>
          <w:sz w:val="18"/>
        </w:rPr>
        <w:t xml:space="preserve">A change or waiver of the Policy requires a written endorsement issued by the Insurer.</w:t>
      </w:r>
    </w:p>
    <w:p>
      <w:pPr>
        <w:pStyle w:val="ListBullet"/>
      </w:pPr>
      <w:r>
        <w:rPr>
          <w:sz w:val="18"/>
        </w:rPr>
        <w:t xml:space="preserve">For claims, the Insurer may not settle for more than $500,000 per occurrence without the Named Insured’s prior written consent. If the Named Insured rejects a recommended settlement and the resulting judgment exceeds that settlement amount, the Named Insured bears the excess.</w:t>
      </w:r>
    </w:p>
    <w:p>
      <w:pPr/>
      <w:r>
        <w:rPr>
          <w:sz w:val="18"/>
        </w:rPr>
        <w:t xml:space="preserve">CONSEQUENCES</w:t>
      </w:r>
    </w:p>
    <w:p>
      <w:pPr>
        <w:pStyle w:val="ListBullet"/>
      </w:pPr>
      <w:r>
        <w:rPr>
          <w:sz w:val="18"/>
        </w:rPr>
        <w:t xml:space="preserve">Coverage automatically becomes limited to a Run-Off Basis as of the Change-of-Control date.</w:t>
      </w:r>
    </w:p>
    <w:p>
      <w:pPr>
        <w:pStyle w:val="ListBullet"/>
      </w:pPr>
      <w:r>
        <w:rPr>
          <w:sz w:val="18"/>
        </w:rPr>
        <w:t xml:space="preserve">Run-Off coverage applies exclusively to Claims arising from Products manufactured, sold, handled, distributed, or disposed of before the Run-Off Conversion Date. No coverage applies to Products handled on or after that date.</w:t>
      </w:r>
    </w:p>
    <w:p>
      <w:pPr>
        <w:pStyle w:val="ListBullet"/>
      </w:pPr>
      <w:r>
        <w:rPr>
          <w:sz w:val="18"/>
        </w:rPr>
        <w:t xml:space="preserve">Run-Off coverage remains in effect through the remainder of the Policy Period.</w:t>
      </w:r>
    </w:p>
    <w:p>
      <w:pPr>
        <w:pStyle w:val="ListBullet"/>
      </w:pPr>
      <w:r>
        <w:rPr>
          <w:sz w:val="18"/>
        </w:rPr>
        <w:t xml:space="preserve">The Named Insured may request an extension of up to 36 months beyond the original Policy expiration, subject to additional premium determined in the Insurer’s sole discretion. The Insurer has no obligation to grant the extension.</w:t>
      </w:r>
    </w:p>
    <w:p>
      <w:pPr>
        <w:pStyle w:val="ListBullet"/>
      </w:pPr>
      <w:r>
        <w:rPr>
          <w:sz w:val="18"/>
        </w:rPr>
        <w:t xml:space="preserve">An extension request must be submitted in writing no later than 60 days before expiration of the then-current Run-Off Period.</w:t>
      </w:r>
    </w:p>
    <w:p>
      <w:pPr>
        <w:pStyle w:val="ListBullet"/>
      </w:pPr>
      <w:r>
        <w:rPr>
          <w:sz w:val="18"/>
        </w:rPr>
        <w:t xml:space="preserve">No return premium is payable for the unexpired Policy Period; all premium paid or due remains fully earned.</w:t>
      </w:r>
    </w:p>
    <w:p>
      <w:pPr>
        <w:pStyle w:val="ListBullet"/>
      </w:pPr>
      <w:r>
        <w:rPr>
          <w:sz w:val="18"/>
        </w:rPr>
        <w:t xml:space="preserve">The successor, parent, or affiliate acquiring control receives no coverage under this Policy for post-Change-of-Control Products unless it applies for and is issued a new policy by the Insurer.</w:t>
      </w:r>
    </w:p>
    <w:p>
      <w:pPr>
        <w:pStyle w:val="ListBullet"/>
      </w:pPr>
      <w:r>
        <w:rPr>
          <w:sz w:val="18"/>
        </w:rPr>
        <w:t xml:space="preserve">The Policy’s $5,000,000 per-occurrence and aggregate limits continue to apply to covered Run-Off Claims; the Policy states that tail coverage does not create new limits and erodes the stated aggregate limits.</w:t>
      </w:r>
    </w:p>
    <w:p>
      <w:pPr>
        <w:pStyle w:val="ListBullet"/>
      </w:pPr>
      <w:r>
        <w:rPr>
          <w:sz w:val="18"/>
        </w:rPr>
        <w:t xml:space="preserve">Cancellation by the Insured is permitted at any time on written notice specifying a future effective date; the Insurer retains the short-rate premium. Insurer cancellation generally requires 60 days’ notice, or 10 days for nonpayment, with pro rata return premium if cancelled by the Insurer. Cancellation does not affect Claims arising from an Occurrence before cancellation.</w:t>
      </w:r>
    </w:p>
    <w:p>
      <w:pPr/>
      <w:r>
        <w:rPr>
          <w:sz w:val="18"/>
        </w:rPr>
        <w:t xml:space="preserve">EXCEPTIONS / CARVE-OUTS</w:t>
      </w:r>
    </w:p>
    <w:p>
      <w:pPr>
        <w:pStyle w:val="ListBullet"/>
      </w:pPr>
      <w:r>
        <w:rPr>
          <w:sz w:val="18"/>
        </w:rPr>
        <w:t xml:space="preserve">Run-Off coverage is limited to pre-Change-of-Control Products; it does not continue for post-closing operations or Products.</w:t>
      </w:r>
    </w:p>
    <w:p>
      <w:pPr>
        <w:pStyle w:val="ListBullet"/>
      </w:pPr>
      <w:r>
        <w:rPr>
          <w:sz w:val="18"/>
        </w:rPr>
        <w:t xml:space="preserve">Coverage for Apex-Kenji Precision JV, LLC is limited to Claims involving Products incorporating Apex’s proprietary designs, specifications, or components; products solely designed, manufactured, or sold by the JV without those elements are excluded.</w:t>
      </w:r>
    </w:p>
    <w:p>
      <w:pPr>
        <w:pStyle w:val="ListBullet"/>
      </w:pPr>
      <w:r>
        <w:rPr>
          <w:sz w:val="18"/>
        </w:rPr>
        <w:t xml:space="preserve">The Policy does not provide successor-entity coverage unless a new policy is issued.</w:t>
      </w:r>
    </w:p>
    <w:p>
      <w:pPr>
        <w:pStyle w:val="ListBullet"/>
      </w:pPr>
      <w:r>
        <w:rPr>
          <w:sz w:val="18"/>
        </w:rPr>
        <w:t xml:space="preserve">The Tail endorsement permits purchase of reporting-period coverage after conversion, cancellation, or non-renewal, but only for Claims first made and reported during the Tail arising from Products handled during the original or prior consecutive policy periods with the Insurer.</w:t>
      </w:r>
    </w:p>
    <w:p>
      <w:pPr>
        <w:pStyle w:val="ListBullet"/>
      </w:pPr>
      <w:r>
        <w:rPr>
          <w:sz w:val="18"/>
        </w:rPr>
        <w:t xml:space="preserve">Tail options must be elected by written notice within 30 days of the triggering event: 12 months at $365,625 (75% of expiring annual premium), 24 months at $609,375 (125%), or 36 months at $853,125 (175%).</w:t>
      </w:r>
    </w:p>
    <w:p>
      <w:pPr>
        <w:pStyle w:val="ListBullet"/>
      </w:pPr>
      <w:r>
        <w:rPr>
          <w:sz w:val="18"/>
        </w:rPr>
        <w:t xml:space="preserve">Tail coverage does not cover post-Run-Off-Conversion or post-cancellation/non-renewal Products, and separate insurance is required for those Products.</w:t>
      </w:r>
    </w:p>
    <w:p>
      <w:pPr>
        <w:pStyle w:val="ListBullet"/>
      </w:pPr>
      <w:r>
        <w:rPr>
          <w:sz w:val="18"/>
        </w:rPr>
        <w:t xml:space="preserve">Tail coverage does not create new limits; reported Claims erode the existing aggregate limits.</w:t>
      </w:r>
    </w:p>
    <w:p>
      <w:pPr/>
      <w:r>
        <w:rPr>
          <w:sz w:val="18"/>
        </w:rPr>
        <w:t xml:space="preserve">ASSIGNMENT / TRANSFER / MERGER LANGUAGE</w:t>
      </w:r>
    </w:p>
    <w:p>
      <w:pPr>
        <w:pStyle w:val="ListBullet"/>
      </w:pPr>
      <w:r>
        <w:rPr>
          <w:sz w:val="18"/>
        </w:rPr>
        <w:t xml:space="preserve">Section IV.E prohibits assignment or transfer of the Policy or rights under it without the Insurer’s prior written consent, which may be withheld in its sole and absolute discretion; an unauthorized assignment or transfer is void.</w:t>
      </w:r>
    </w:p>
    <w:p>
      <w:pPr>
        <w:pStyle w:val="ListBullet"/>
      </w:pPr>
      <w:r>
        <w:rPr>
          <w:sz w:val="18"/>
        </w:rPr>
        <w:t xml:space="preserve">Section IV.E expressly preserves and does not limit the automatic conversion provisions of Section IV.F.</w:t>
      </w:r>
    </w:p>
    <w:p>
      <w:pPr>
        <w:pStyle w:val="ListBullet"/>
      </w:pPr>
      <w:r>
        <w:rPr>
          <w:sz w:val="18"/>
        </w:rPr>
        <w:t xml:space="preserve">Section II expressly includes mergers, consolidations, amalgamations, and statutory share exchanges within the Change-of-Control definition.</w:t>
      </w:r>
    </w:p>
    <w:p>
      <w:pPr>
        <w:pStyle w:val="ListBullet"/>
      </w:pPr>
      <w:r>
        <w:rPr>
          <w:sz w:val="18"/>
        </w:rPr>
        <w:t xml:space="preserve">No separate provision states that a merger or asset transfer requires prior Insurer consent; the stated consequence is automatic conversion to Run-Off. The general assignment restriction remains relevant to any attempted transfer of Policy rights.</w:t>
      </w:r>
    </w:p>
    <w:p>
      <w:pPr/>
      <w:r>
        <w:rPr>
          <w:sz w:val="18"/>
        </w:rPr>
        <w:t xml:space="preserve">STOCK DEAL RISK</w:t>
      </w:r>
    </w:p>
    <w:p>
      <w:pPr>
        <w:pStyle w:val="ListBullet"/>
      </w:pPr>
      <w:r>
        <w:rPr>
          <w:sz w:val="18"/>
        </w:rPr>
        <w:t xml:space="preserve">Acquisition of 50% or more of voting securities, or any transaction changing ultimate control, triggers automatic Run-Off.</w:t>
      </w:r>
    </w:p>
    <w:p>
      <w:pPr>
        <w:pStyle w:val="ListBullet"/>
      </w:pPr>
      <w:r>
        <w:rPr>
          <w:sz w:val="18"/>
        </w:rPr>
        <w:t xml:space="preserve">A merger triggers Run-Off if Apex does not survive or its pre-transaction voting holders own less than 50% of the surviving entity after closing.</w:t>
      </w:r>
    </w:p>
    <w:p>
      <w:pPr>
        <w:pStyle w:val="ListBullet"/>
      </w:pPr>
      <w:r>
        <w:rPr>
          <w:sz w:val="18"/>
        </w:rPr>
        <w:t xml:space="preserve">Post-closing Products are uninsured under this Policy, and the buyer, successor, parent, or affiliate has no Policy rights absent issuance of a new policy.</w:t>
      </w:r>
    </w:p>
    <w:p>
      <w:pPr>
        <w:pStyle w:val="ListBullet"/>
      </w:pPr>
      <w:r>
        <w:rPr>
          <w:sz w:val="18"/>
        </w:rPr>
        <w:t xml:space="preserve">Failure to provide notice within 15 days may permit the Insurer to void coverage for a Claim prejudiced by the delay.</w:t>
      </w:r>
    </w:p>
    <w:p>
      <w:pPr>
        <w:pStyle w:val="ListBullet"/>
      </w:pPr>
      <w:r>
        <w:rPr>
          <w:sz w:val="18"/>
        </w:rPr>
        <w:t xml:space="preserve">No return premium is available, and premium paid or due remains fully earned.</w:t>
      </w:r>
    </w:p>
    <w:p>
      <w:pPr>
        <w:pStyle w:val="ListBullet"/>
      </w:pPr>
      <w:r>
        <w:rPr>
          <w:sz w:val="18"/>
        </w:rPr>
        <w:t xml:space="preserve">Any attempted transfer of Policy rights without prior written Insurer consent is void.</w:t>
      </w:r>
    </w:p>
    <w:p>
      <w:pPr/>
      <w:r>
        <w:rPr>
          <w:sz w:val="18"/>
        </w:rPr>
        <w:t xml:space="preserve">ASSET DEAL RISK</w:t>
      </w:r>
    </w:p>
    <w:p>
      <w:pPr>
        <w:pStyle w:val="ListBullet"/>
      </w:pPr>
      <w:r>
        <w:rPr>
          <w:sz w:val="18"/>
        </w:rPr>
        <w:t xml:space="preserve">A sale, lease, exchange, or other transfer of all or substantially all assets independently triggers automatic Run-Off.</w:t>
      </w:r>
    </w:p>
    <w:p>
      <w:pPr>
        <w:pStyle w:val="ListBullet"/>
      </w:pPr>
      <w:r>
        <w:rPr>
          <w:sz w:val="18"/>
        </w:rPr>
        <w:t xml:space="preserve">The Policy will not cover Products manufactured, sold, handled, distributed, or disposed of after the asset-transfer closing.</w:t>
      </w:r>
    </w:p>
    <w:p>
      <w:pPr>
        <w:pStyle w:val="ListBullet"/>
      </w:pPr>
      <w:r>
        <w:rPr>
          <w:sz w:val="18"/>
        </w:rPr>
        <w:t xml:space="preserve">The acquiring entity receives no successor coverage under this Policy and must obtain a new policy for post-closing Products.</w:t>
      </w:r>
    </w:p>
    <w:p>
      <w:pPr>
        <w:pStyle w:val="ListBullet"/>
      </w:pPr>
      <w:r>
        <w:rPr>
          <w:sz w:val="18"/>
        </w:rPr>
        <w:t xml:space="preserve">Pre-closing product Claims remain subject to Run-Off coverage for the remaining Policy Period, with available limits and applicable exclusions.</w:t>
      </w:r>
    </w:p>
    <w:p>
      <w:pPr>
        <w:pStyle w:val="ListBullet"/>
      </w:pPr>
      <w:r>
        <w:rPr>
          <w:sz w:val="18"/>
        </w:rPr>
        <w:t xml:space="preserve">No return premium is payable following conversion.</w:t>
      </w:r>
    </w:p>
    <w:p>
      <w:pPr/>
      <w:r>
        <w:rPr>
          <w:sz w:val="18"/>
        </w:rPr>
        <w:t xml:space="preserve">MITIGATION</w:t>
      </w:r>
    </w:p>
    <w:p>
      <w:pPr>
        <w:pStyle w:val="ListBullet"/>
      </w:pPr>
      <w:r>
        <w:rPr>
          <w:sz w:val="18"/>
        </w:rPr>
        <w:t xml:space="preserve">Provide written Change-of-Control notice to the Insurer within 15 days after closing and preserve evidence of timely delivery.</w:t>
      </w:r>
    </w:p>
    <w:p>
      <w:pPr>
        <w:pStyle w:val="ListBullet"/>
      </w:pPr>
      <w:r>
        <w:rPr>
          <w:sz w:val="18"/>
        </w:rPr>
        <w:t xml:space="preserve">Before closing, seek a written endorsement or new policy addressing post-closing Products and confirming any desired treatment of pre-closing liabilities; the Policy requires written Insurer endorsement for changes or waivers.</w:t>
      </w:r>
    </w:p>
    <w:p>
      <w:pPr>
        <w:pStyle w:val="ListBullet"/>
      </w:pPr>
      <w:r>
        <w:rPr>
          <w:sz w:val="18"/>
        </w:rPr>
        <w:t xml:space="preserve">Obtain the Insurer’s prior written consent before assigning or transferring any Policy rights.</w:t>
      </w:r>
    </w:p>
    <w:p>
      <w:pPr>
        <w:pStyle w:val="ListBullet"/>
      </w:pPr>
      <w:r>
        <w:rPr>
          <w:sz w:val="18"/>
        </w:rPr>
        <w:t xml:space="preserve">Evaluate and timely exercise the Tail option within 30 days of conversion, cancellation, or non-renewal; separately evaluate the available Run-Off extension, requested at least 60 days before the then-current Run-Off Period expires.</w:t>
      </w:r>
    </w:p>
    <w:p>
      <w:pPr>
        <w:pStyle w:val="ListBullet"/>
      </w:pPr>
      <w:r>
        <w:rPr>
          <w:sz w:val="18"/>
        </w:rPr>
        <w:t xml:space="preserve">Budget for the applicable Tail premium and the absence of any return premium.</w:t>
      </w:r>
    </w:p>
    <w:p>
      <w:pPr>
        <w:pStyle w:val="ListBullet"/>
      </w:pPr>
      <w:r>
        <w:rPr>
          <w:sz w:val="18"/>
        </w:rPr>
        <w:t xml:space="preserve">Preserve product traceability and quality-control records in the Crestline ERP Platform throughout the Policy Period and any Run-Off Period, as required by Schedule B.</w:t>
      </w:r>
    </w:p>
    <w:p>
      <w:pPr>
        <w:pStyle w:val="ListBullet"/>
      </w:pPr>
      <w:r>
        <w:rPr>
          <w:sz w:val="18"/>
        </w:rPr>
        <w:t xml:space="preserve">Confirm that coverage for Apex-Kenji Precision JV, LLC and the scheduled products is sufficient for the transaction and that post-closing operations are covered under replacement insurance.</w:t>
      </w:r>
    </w:p>
    <w:p>
      <w:pPr>
        <w:r>
          <w:br w:type="page"/>
        </w:r>
      </w:pPr>
      <w:r>
        <w:rPr>
          <w:sz w:val="20"/>
        </w:rPr>
        <w:t xml:space="preserve"/>
      </w:r>
    </w:p>
    <w:p>
      <w:pPr>
        <w:pStyle w:val="Heading1"/>
      </w:pPr>
      <w:r>
        <w:rPr>
          <w:b/>
          <w:color w:val="1F4E79"/>
          <w:sz w:val="32"/>
        </w:rPr>
        <w:t xml:space="preserve">13. Consolidated Closing Checklist</w:t>
      </w:r>
    </w:p>
    <w:p>
      <w:pPr>
        <w:pStyle w:val="ListBullet"/>
      </w:pPr>
      <w:r>
        <w:rPr>
          <w:sz w:val="18"/>
        </w:rPr>
        <w:t xml:space="preserve">Credit agreement: obtain lender analysis, waiver, or payoff confirmation; model mandatory repayment and commitment termination consequences and the separate greater-than-35% Event of Default threshold.</w:t>
      </w:r>
    </w:p>
    <w:p>
      <w:pPr>
        <w:pStyle w:val="ListBullet"/>
      </w:pPr>
      <w:r>
        <w:rPr>
          <w:sz w:val="18"/>
        </w:rPr>
        <w:t xml:space="preserve">JV agreement: determine whether the buyer or transaction falls within the definition; calendar the 10-business-day and 5-business-day notices; quantify the 4.5x EBITDA buyout exposure; assess successor-entity conditions.</w:t>
      </w:r>
    </w:p>
    <w:p>
      <w:pPr>
        <w:pStyle w:val="ListBullet"/>
      </w:pPr>
      <w:r>
        <w:rPr>
          <w:sz w:val="18"/>
        </w:rPr>
        <w:t xml:space="preserve">Hendricks license: obtain licensor consent or waiver, or confirm continued license rights, including treatment of a stock acquisition, merger, and asset transfer.</w:t>
      </w:r>
    </w:p>
    <w:p>
      <w:pPr>
        <w:pStyle w:val="ListBullet"/>
      </w:pPr>
      <w:r>
        <w:rPr>
          <w:sz w:val="18"/>
        </w:rPr>
        <w:t xml:space="preserve">PacWest: provide required notice and seek written confirmation that the agreement will continue; account for the 90-day termination right.</w:t>
      </w:r>
    </w:p>
    <w:p>
      <w:pPr>
        <w:pStyle w:val="ListBullet"/>
      </w:pPr>
      <w:r>
        <w:rPr>
          <w:sz w:val="18"/>
        </w:rPr>
        <w:t xml:space="preserve">Insurance: notify the insurer within the contractual deadline, obtain an endorsement or new policy for post-closing products, evaluate run-off and tail options, and secure consent for any policy assignment.</w:t>
      </w:r>
    </w:p>
    <w:p>
      <w:pPr>
        <w:pStyle w:val="ListBullet"/>
      </w:pPr>
      <w:r>
        <w:rPr>
          <w:sz w:val="18"/>
        </w:rPr>
        <w:t xml:space="preserve">Northland, lease, and employment agreement: confirm that no assignment, delegation, subletting, or related consent is implicated by the selected transaction structure.</w:t>
      </w:r>
    </w:p>
    <w:p>
      <w:pPr>
        <w:pStyle w:val="ListBullet"/>
      </w:pPr>
      <w:r>
        <w:rPr>
          <w:sz w:val="18"/>
        </w:rPr>
        <w:t xml:space="preserve">Transaction documents: include conditions precedent, notice and consent covenants, indemnity allocation for pre-closing liabilities, and a plan for replacement coverage and financing.</w:t>
      </w:r>
    </w:p>
    <w:p>
      <w:pPr>
        <w:pStyle w:val="Heading1"/>
      </w:pPr>
      <w:r>
        <w:rPr>
          <w:b/>
          <w:color w:val="1F4E79"/>
          <w:sz w:val="32"/>
        </w:rPr>
        <w:t xml:space="preserve">14. Important Qualification</w:t>
      </w:r>
    </w:p>
    <w:p>
      <w:pPr/>
      <w:r>
        <w:rPr>
          <w:sz w:val="20"/>
        </w:rPr>
        <w:t xml:space="preserve">This is an extraction and transaction-risk report, not a legal opinion. The operative contract text, amendments, waivers, side letters, schedules, lender correspondence, insurance endorsements, and applicable law should be reviewed before relying on any conclusion or proceeding to closing.</w:t>
      </w:r>
    </w:p>
    <w:sectPr>
      <w:pgSz w:w="12240" w:h="15840"/>
      <w:pgMar w:top="720" w:right="900" w:bottom="720" w:left="900"/>
      <w:footerReference xmlns:r="http://schemas.openxmlformats.org/officeDocument/2006/relationships" w:type="default" r:id="rIdFooter"/>
    </w:sectPr>
  </w:body>
</w:document>
</file>

<file path=word/footer1.xml><?xml version="1.0" encoding="utf-8"?>
<w:ftr xmlns:w="http://schemas.openxmlformats.org/wordprocessingml/2006/main">
  <w:p>
    <w:pPr>
      <w:jc w:val="center"/>
    </w:pPr>
    <w:r>
      <w:rPr>
        <w:sz w:val="16"/>
      </w:rPr>
      <w:t>Confidential – Change-of-Control Extraction Report</w:t>
    </w:r>
  </w:p>
</w:ftr>
</file>

<file path=word/styles.xml><?xml version="1.0" encoding="utf-8"?>
<w:styles xmlns:w="http://schemas.openxmlformats.org/wordprocessingml/2006/main">
  <w:style w:type="paragraph" w:default="1" w:styleId="Normal">
    <w:name w:val="Normal"/>
    <w:rPr>
      <w:rFonts w:ascii="Arial"/>
      <w:sz w:val="18"/>
    </w:rPr>
  </w:style>
  <w:style w:type="paragraph" w:styleId="Heading1">
    <w:name w:val="heading 1"/>
    <w:rPr>
      <w:rFonts w:ascii="Arial"/>
      <w:b/>
      <w:color w:val="1F4E79"/>
      <w:sz w:val="32"/>
    </w:rPr>
  </w:style>
  <w:style w:type="paragraph" w:styleId="Heading2">
    <w:name w:val="heading 2"/>
    <w:rPr>
      <w:rFonts w:ascii="Arial"/>
      <w:b/>
      <w:color w:val="1F4E79"/>
      <w:sz w:val="26"/>
    </w:rPr>
  </w:style>
  <w:style w:type="paragraph" w:styleId="Heading3">
    <w:name w:val="heading 3"/>
    <w:rPr>
      <w:rFonts w:ascii="Arial"/>
      <w:b/>
      <w:color w:val="444444"/>
      <w:sz w:val="22"/>
    </w:rPr>
  </w:style>
  <w:style w:type="paragraph" w:styleId="ListBullet">
    <w:name w:val="List Bullet"/>
    <w:pPr>
      <w:ind w:left="360" w:hanging="180"/>
    </w:pPr>
    <w:rPr>
      <w:rFonts w:ascii="Arial"/>
      <w:sz w:val="18"/>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Footer" Type="http://schemas.openxmlformats.org/officeDocument/2006/relationships/footer" Target="footer1.xml"/>
</Relationships>
</file>