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header" Target="word/header.xml"/>
<Relationship Id="rId3" Type="http://schemas.openxmlformats.org/officeDocument/2006/relationships/footer" Target="word/footer.xml"/>
</Relationships>
</file>

<file path=word/document.xml><?xml version="1.0" encoding="utf-8"?>
<w:document xmlns:w="http://schemas.openxmlformats.org/wordprocessingml/2006/main">
  <w:body>
    <w:p>
      <w:pPr>
        <w:spacing w:before="0" w:after="80"/>
      </w:pPr>
      <w:r>
        <w:rPr>
          <w:rFonts w:ascii="Aptos" w:hAnsi="Aptos"/>
          <w:sz w:val="22"/>
          <w:b/>
          <w:color w:val="C00000"/>
        </w:rPr>
        <w:t xml:space="preserve">CONFIDENTIAL — ATTORNEY WORK PRODUCT</w:t>
      </w:r>
    </w:p>
    <w:p>
      <w:pPr>
        <w:spacing w:before="0" w:after="0"/>
      </w:pPr>
      <w:r>
        <w:rPr>
          <w:rFonts w:ascii="Aptos" w:hAnsi="Aptos"/>
          <w:sz w:val="34"/>
          <w:b/>
          <w:color w:val="1F4E79"/>
        </w:rPr>
        <w:t xml:space="preserve">SPA REPRESENTATIONS AND DISCLOSURE SCHEDULES</w:t>
      </w:r>
    </w:p>
    <w:p>
      <w:pPr>
        <w:spacing w:before="0" w:after="120"/>
      </w:pPr>
      <w:r>
        <w:rPr>
          <w:rFonts w:ascii="Aptos" w:hAnsi="Aptos"/>
          <w:sz w:val="34"/>
          <w:b/>
          <w:color w:val="1F4E79"/>
        </w:rPr>
        <w:t xml:space="preserve">VERSUS DILIGENCE MEMORANDUM</w:t>
      </w:r>
    </w:p>
    <w:p>
      <w:pPr>
        <w:spacing w:before="0" w:after="40"/>
      </w:pPr>
      <w:r>
        <w:rPr>
          <w:rFonts w:ascii="Aptos" w:hAnsi="Aptos"/>
          <w:sz w:val="22"/>
          <w:b/>
        </w:rPr>
        <w:t xml:space="preserve">PrecisionFlow Systems, Inc. / Cascadia Industrial Holdings, Inc.</w:t>
      </w:r>
    </w:p>
    <w:p>
      <w:pPr>
        <w:spacing w:before="0" w:after="220"/>
      </w:pPr>
      <w:r>
        <w:rPr>
          <w:rFonts w:ascii="Aptos" w:hAnsi="Aptos"/>
          <w:sz w:val="18"/>
          <w:color w:val="666666"/>
        </w:rPr>
        <w:t xml:space="preserve">Prepared September 7, 2026 | For discussion purposes and subject to confirmation of underlying records.</w:t>
      </w:r>
    </w:p>
    <w:p>
      <w:pPr>
        <w:spacing w:before="180" w:after="100"/>
        <w:pStyle w:val="Heading1"/>
      </w:pPr>
      <w:r>
        <w:rPr>
          <w:rFonts w:ascii="Aptos" w:hAnsi="Aptos"/>
          <w:sz w:val="30"/>
          <w:b/>
          <w:color w:val="1F4E79"/>
        </w:rPr>
        <w:t xml:space="preserve">Executive Summary</w:t>
      </w:r>
    </w:p>
    <w:p>
      <w:pPr>
        <w:spacing w:before="0" w:after="100"/>
      </w:pPr>
      <w:r>
        <w:rPr>
          <w:rFonts w:ascii="Aptos" w:hAnsi="Aptos"/>
          <w:sz w:val="20"/>
        </w:rPr>
        <w:t xml:space="preserve">This memorandum compares the seller’s draft Stock Purchase Agreement (SPA) and draft disclosure schedules against the diligence report, diligence email, IP memorandum, contract summary, and EBITDA bridge workpaper. The comparison identifies 11 items requiring correction, further diligence, economic protection, or closing conditions. The most urgent matters are the potentially defective title to approximately 3.1% of the shares, the undisclosed Kessler change-of-control right, the expired NorthPoint agreement, and incomplete AquaDyne and environmental diligence.</w:t>
      </w:r>
    </w:p>
    <w:p>
      <w:pPr>
        <w:pStyle w:val="ListBullet"/>
        <w:spacing w:after="70"/>
      </w:pPr>
      <w:r>
        <w:rPr>
          <w:rFonts w:ascii="Aptos" w:hAnsi="Aptos"/>
          <w:sz w:val="19"/>
        </w:rPr>
        <w:t xml:space="preserve">CRITICAL: resolve the Karen Beecham share claim and obtain clean title; obtain Kessler consent or waiver; and secure a NorthPoint renewal or reassess the transaction.</w:t>
      </w:r>
    </w:p>
    <w:p>
      <w:pPr>
        <w:pStyle w:val="ListBullet"/>
        <w:spacing w:after="70"/>
      </w:pPr>
      <w:r>
        <w:rPr>
          <w:rFonts w:ascii="Aptos" w:hAnsi="Aptos"/>
          <w:sz w:val="19"/>
        </w:rPr>
        <w:t xml:space="preserve">HIGH: correct the omitted PF-4200 patents, complete AquaDyne testing and non-infringement diligence, investigate the Dayton environmental condition, address California tax nexus, correct EBITDA, reconcile pension liabilities, and protect the Martinez coverage gap.</w:t>
      </w:r>
    </w:p>
    <w:p>
      <w:pPr>
        <w:pStyle w:val="ListBullet"/>
        <w:spacing w:after="70"/>
      </w:pPr>
      <w:r>
        <w:rPr>
          <w:rFonts w:ascii="Aptos" w:hAnsi="Aptos"/>
          <w:sz w:val="19"/>
        </w:rPr>
        <w:t xml:space="preserve">Current economic indicators include approximately $0.38 million of unsupported recurring EBITDA add-back, approximately $2.5 million of pension underfunding, approximately $2 million of potential Martinez uninsured exposure, and approximately $3.8 million of California-sourced sales subject to unfiled-return exposure.</w:t>
      </w:r>
    </w:p>
    <w:p>
      <w:pPr>
        <w:pStyle w:val="ListBullet"/>
        <w:spacing w:after="70"/>
      </w:pPr>
      <w:r>
        <w:rPr>
          <w:rFonts w:ascii="Aptos" w:hAnsi="Aptos"/>
          <w:sz w:val="19"/>
        </w:rPr>
        <w:t xml:space="preserve">No item should be treated as cured merely by adding narrative to a schedule. Obtain primary documents, seller certifications, specific indemnities, escrow or holdback protection, and closing conditions where appropriate.</w:t>
      </w:r>
    </w:p>
    <w:p>
      <w:pPr>
        <w:spacing w:before="180" w:after="100"/>
        <w:pStyle w:val="Heading1"/>
      </w:pPr>
      <w:r>
        <w:rPr>
          <w:rFonts w:ascii="Aptos" w:hAnsi="Aptos"/>
          <w:sz w:val="30"/>
          <w:b/>
          <w:color w:val="1F4E79"/>
        </w:rPr>
        <w:t xml:space="preserve">Prioritized Action Plan</w:t>
      </w:r>
    </w:p>
    <w:p>
      <w:pPr>
        <w:pStyle w:val="ListBullet"/>
        <w:spacing w:after="70"/>
      </w:pPr>
      <w:r>
        <w:rPr>
          <w:rFonts w:ascii="Aptos" w:hAnsi="Aptos"/>
          <w:sz w:val="19"/>
        </w:rPr>
        <w:t xml:space="preserve">Before signing: obtain a clean cap table/title package and resolve Karen Beecham’s claim; obtain Kessler consent/waiver; consider delaying signing if either remains unresolved.</w:t>
      </w:r>
    </w:p>
    <w:p>
      <w:pPr>
        <w:pStyle w:val="ListBullet"/>
        <w:spacing w:after="70"/>
      </w:pPr>
      <w:r>
        <w:rPr>
          <w:rFonts w:ascii="Aptos" w:hAnsi="Aptos"/>
          <w:sz w:val="19"/>
        </w:rPr>
        <w:t xml:space="preserve">Before signing or as closing conditions: obtain a NorthPoint renewal; correct IP and environmental schedules; obtain AquaDyne testing and an updated opinion; establish California tax remediation and a dedicated indemnity.</w:t>
      </w:r>
    </w:p>
    <w:p>
      <w:pPr>
        <w:pStyle w:val="ListBullet"/>
        <w:spacing w:after="70"/>
      </w:pPr>
      <w:r>
        <w:rPr>
          <w:rFonts w:ascii="Aptos" w:hAnsi="Aptos"/>
          <w:sz w:val="19"/>
        </w:rPr>
        <w:t xml:space="preserve">Before agreeing purchase price: revise EBITDA to exclude the recurring $0.38 million charge, verify the $0.22 million one-time component, and quantify pension and Martinez exposures.</w:t>
      </w:r>
    </w:p>
    <w:p>
      <w:pPr>
        <w:pStyle w:val="ListBullet"/>
        <w:spacing w:after="70"/>
      </w:pPr>
      <w:r>
        <w:rPr>
          <w:rFonts w:ascii="Aptos" w:hAnsi="Aptos"/>
          <w:sz w:val="19"/>
        </w:rPr>
        <w:t xml:space="preserve">At signing: add specific indemnities, dedicated escrows or holdbacks, extended survival, cooperation and claim-control provisions, and buyer adjustment rights for unresolved items.</w:t>
      </w:r>
    </w:p>
    <w:p>
      <w:pPr>
        <w:pStyle w:val="ListBullet"/>
        <w:spacing w:after="70"/>
      </w:pPr>
      <w:r>
        <w:rPr>
          <w:rFonts w:ascii="Aptos" w:hAnsi="Aptos"/>
          <w:sz w:val="19"/>
        </w:rPr>
        <w:t xml:space="preserve">Before closing: require updated disclosure schedules, seller certification that no material facts have been omitted, and a bring-down certificate addressing the diligence findings.</w:t>
      </w:r>
    </w:p>
    <w:p>
      <w:pPr>
        <w:spacing w:before="180" w:after="100"/>
        <w:pStyle w:val="Heading1"/>
      </w:pPr>
      <w:r>
        <w:rPr>
          <w:rFonts w:ascii="Aptos" w:hAnsi="Aptos"/>
          <w:sz w:val="30"/>
          <w:b/>
          <w:color w:val="1F4E79"/>
        </w:rPr>
        <w:t xml:space="preserve">Detailed Discrepancy Mapping</w:t>
      </w:r>
    </w:p>
    <w:p>
      <w:pPr>
        <w:spacing w:before="180" w:after="60"/>
      </w:pPr>
      <w:r>
        <w:rPr>
          <w:rFonts w:ascii="Aptos" w:hAnsi="Aptos"/>
          <w:sz w:val="23"/>
          <w:b/>
          <w:color w:val="C06000"/>
        </w:rPr>
        <w:t xml:space="preserve">1. Omitted PF-4200 patents — HIGH</w:t>
      </w:r>
    </w:p>
    <w:tbl>
      <w:tblPr>
        <w:tblBorders>
          <w:top w:val="single" w:sz="4" w:color="B7C9D6"/>
          <w:left w:val="single" w:sz="4" w:color="B7C9D6"/>
          <w:bottom w:val="single" w:sz="4" w:color="B7C9D6"/>
          <w:right w:val="single" w:sz="4" w:color="B7C9D6"/>
          <w:insideH w:val="single" w:sz="4" w:color="D9E2F3"/>
          <w:insideV w:val="single" w:sz="4" w:color="D9E2F3"/>
        </w:tblBorders>
      </w:tblPr>
      <w:tr>
        <w:tc>
          <w:tcPr>
            <w:shd w:fill="D9EAF7"/>
            <w:tcW w:w="2200" w:type="dxa"/>
          </w:tcPr>
          <w:p>
            <w:r>
              <w:rPr>
                <w:rFonts w:ascii="Aptos" w:hAnsi="Aptos"/>
                <w:sz w:val="17"/>
                <w:b/>
                <w:color w:val="1F4E79"/>
              </w:rPr>
              <w:t xml:space="preserve">SPA / schedule</w:t>
            </w:r>
          </w:p>
        </w:tc>
        <w:tc>
          <w:tcPr>
            <w:tcW w:w="7000" w:type="dxa"/>
          </w:tcPr>
          <w:p>
            <w:r>
              <w:rPr>
                <w:rFonts w:ascii="Aptos" w:hAnsi="Aptos"/>
                <w:sz w:val="17"/>
              </w:rPr>
              <w:t xml:space="preserve">SPA §3.9(a); Disclosure Schedule 3.9(a)</w:t>
            </w:r>
          </w:p>
        </w:tc>
      </w:tr>
      <w:tr>
        <w:tc>
          <w:tcPr>
            <w:shd w:fill="D9EAF7"/>
            <w:tcW w:w="2200" w:type="dxa"/>
          </w:tcPr>
          <w:p>
            <w:r>
              <w:rPr>
                <w:rFonts w:ascii="Aptos" w:hAnsi="Aptos"/>
                <w:sz w:val="17"/>
                <w:b/>
                <w:color w:val="1F4E79"/>
              </w:rPr>
              <w:t xml:space="preserve">Seller representation / disclosure</w:t>
            </w:r>
          </w:p>
        </w:tc>
        <w:tc>
          <w:tcPr>
            <w:tcW w:w="7000" w:type="dxa"/>
          </w:tcPr>
          <w:p>
            <w:r>
              <w:rPr>
                <w:rFonts w:ascii="Aptos" w:hAnsi="Aptos"/>
                <w:sz w:val="17"/>
              </w:rPr>
              <w:t xml:space="preserve">Schedule 3.9(a) lists the Company intellectual property, including 12 issued U.S. patents and 3 pending applications.</w:t>
            </w:r>
          </w:p>
        </w:tc>
      </w:tr>
      <w:tr>
        <w:tc>
          <w:tcPr>
            <w:shd w:fill="D9EAF7"/>
            <w:tcW w:w="2200" w:type="dxa"/>
          </w:tcPr>
          <w:p>
            <w:r>
              <w:rPr>
                <w:rFonts w:ascii="Aptos" w:hAnsi="Aptos"/>
                <w:sz w:val="17"/>
                <w:b/>
                <w:color w:val="1F4E79"/>
              </w:rPr>
              <w:t xml:space="preserve">Diligence discrepancy</w:t>
            </w:r>
          </w:p>
        </w:tc>
        <w:tc>
          <w:tcPr>
            <w:tcW w:w="7000" w:type="dxa"/>
          </w:tcPr>
          <w:p>
            <w:r>
              <w:rPr>
                <w:rFonts w:ascii="Aptos" w:hAnsi="Aptos"/>
                <w:sz w:val="17"/>
              </w:rPr>
              <w:t xml:space="preserve">Diligence identifies two issued patents directly related to the PF-4200 proportional valve that are omitted from Schedule 3.9(a).</w:t>
            </w:r>
          </w:p>
        </w:tc>
      </w:tr>
      <w:tr>
        <w:tc>
          <w:tcPr>
            <w:shd w:fill="D9EAF7"/>
            <w:tcW w:w="2200" w:type="dxa"/>
          </w:tcPr>
          <w:p>
            <w:r>
              <w:rPr>
                <w:rFonts w:ascii="Aptos" w:hAnsi="Aptos"/>
                <w:sz w:val="17"/>
                <w:b/>
                <w:color w:val="1F4E79"/>
              </w:rPr>
              <w:t xml:space="preserve">Material impact</w:t>
            </w:r>
          </w:p>
        </w:tc>
        <w:tc>
          <w:tcPr>
            <w:tcW w:w="7000" w:type="dxa"/>
          </w:tcPr>
          <w:p>
            <w:r>
              <w:rPr>
                <w:rFonts w:ascii="Aptos" w:hAnsi="Aptos"/>
                <w:sz w:val="17"/>
              </w:rPr>
              <w:t xml:space="preserve">Incomplete IP ownership/title and infringement analysis; the patents concern core product IP.</w:t>
            </w:r>
          </w:p>
        </w:tc>
      </w:tr>
      <w:tr>
        <w:tc>
          <w:tcPr>
            <w:shd w:fill="D9EAF7"/>
            <w:tcW w:w="2200" w:type="dxa"/>
          </w:tcPr>
          <w:p>
            <w:r>
              <w:rPr>
                <w:rFonts w:ascii="Aptos" w:hAnsi="Aptos"/>
                <w:sz w:val="17"/>
                <w:b/>
                <w:color w:val="1F4E79"/>
              </w:rPr>
              <w:t xml:space="preserve">Recommended action</w:t>
            </w:r>
          </w:p>
        </w:tc>
        <w:tc>
          <w:tcPr>
            <w:tcW w:w="7000" w:type="dxa"/>
          </w:tcPr>
          <w:p>
            <w:r>
              <w:rPr>
                <w:rFonts w:ascii="Aptos" w:hAnsi="Aptos"/>
                <w:sz w:val="17"/>
              </w:rPr>
              <w:t xml:space="preserve">Correct the schedule; identify ownership, inventors, jurisdictions, maintenance status, liens/licenses, and chain of title. Obtain seller certification and confirm freedom to operate before signing or make correction a signing condition.</w:t>
            </w:r>
          </w:p>
        </w:tc>
      </w:tr>
    </w:tbl>
    <w:p>
      <w:pPr>
        <w:spacing w:before="180" w:after="60"/>
      </w:pPr>
      <w:r>
        <w:rPr>
          <w:rFonts w:ascii="Aptos" w:hAnsi="Aptos"/>
          <w:sz w:val="23"/>
          <w:b/>
          <w:color w:val="C06000"/>
        </w:rPr>
        <w:t xml:space="preserve">2. Incomplete AquaDyne non-infringement support — HIGH</w:t>
      </w:r>
    </w:p>
    <w:tbl>
      <w:tblPr>
        <w:tblBorders>
          <w:top w:val="single" w:sz="4" w:color="B7C9D6"/>
          <w:left w:val="single" w:sz="4" w:color="B7C9D6"/>
          <w:bottom w:val="single" w:sz="4" w:color="B7C9D6"/>
          <w:right w:val="single" w:sz="4" w:color="B7C9D6"/>
          <w:insideH w:val="single" w:sz="4" w:color="D9E2F3"/>
          <w:insideV w:val="single" w:sz="4" w:color="D9E2F3"/>
        </w:tblBorders>
      </w:tblPr>
      <w:tr>
        <w:tc>
          <w:tcPr>
            <w:shd w:fill="D9EAF7"/>
            <w:tcW w:w="2200" w:type="dxa"/>
          </w:tcPr>
          <w:p>
            <w:r>
              <w:rPr>
                <w:rFonts w:ascii="Aptos" w:hAnsi="Aptos"/>
                <w:sz w:val="17"/>
                <w:b/>
                <w:color w:val="1F4E79"/>
              </w:rPr>
              <w:t xml:space="preserve">SPA / schedule</w:t>
            </w:r>
          </w:p>
        </w:tc>
        <w:tc>
          <w:tcPr>
            <w:tcW w:w="7000" w:type="dxa"/>
          </w:tcPr>
          <w:p>
            <w:r>
              <w:rPr>
                <w:rFonts w:ascii="Aptos" w:hAnsi="Aptos"/>
                <w:sz w:val="17"/>
              </w:rPr>
              <w:t xml:space="preserve">SPA §3.9(c); Disclosure Schedule 3.9(c)</w:t>
            </w:r>
          </w:p>
        </w:tc>
      </w:tr>
      <w:tr>
        <w:tc>
          <w:tcPr>
            <w:shd w:fill="D9EAF7"/>
            <w:tcW w:w="2200" w:type="dxa"/>
          </w:tcPr>
          <w:p>
            <w:r>
              <w:rPr>
                <w:rFonts w:ascii="Aptos" w:hAnsi="Aptos"/>
                <w:sz w:val="17"/>
                <w:b/>
                <w:color w:val="1F4E79"/>
              </w:rPr>
              <w:t xml:space="preserve">Seller representation / disclosure</w:t>
            </w:r>
          </w:p>
        </w:tc>
        <w:tc>
          <w:tcPr>
            <w:tcW w:w="7000" w:type="dxa"/>
          </w:tcPr>
          <w:p>
            <w:r>
              <w:rPr>
                <w:rFonts w:ascii="Aptos" w:hAnsi="Aptos"/>
                <w:sz w:val="17"/>
              </w:rPr>
              <w:t xml:space="preserve">Schedule 3.9(c) discloses the September 8, 2024 AquaDyne cease-and-desist letter.</w:t>
            </w:r>
          </w:p>
        </w:tc>
      </w:tr>
      <w:tr>
        <w:tc>
          <w:tcPr>
            <w:shd w:fill="D9EAF7"/>
            <w:tcW w:w="2200" w:type="dxa"/>
          </w:tcPr>
          <w:p>
            <w:r>
              <w:rPr>
                <w:rFonts w:ascii="Aptos" w:hAnsi="Aptos"/>
                <w:sz w:val="17"/>
                <w:b/>
                <w:color w:val="1F4E79"/>
              </w:rPr>
              <w:t xml:space="preserve">Diligence discrepancy</w:t>
            </w:r>
          </w:p>
        </w:tc>
        <w:tc>
          <w:tcPr>
            <w:tcW w:w="7000" w:type="dxa"/>
          </w:tcPr>
          <w:p>
            <w:r>
              <w:rPr>
                <w:rFonts w:ascii="Aptos" w:hAnsi="Aptos"/>
                <w:sz w:val="17"/>
              </w:rPr>
              <w:t xml:space="preserve">The IP diligence memo reports that the non-infringement opinion is incomplete because the Target refused to produce internal testing data.</w:t>
            </w:r>
          </w:p>
        </w:tc>
      </w:tr>
      <w:tr>
        <w:tc>
          <w:tcPr>
            <w:shd w:fill="D9EAF7"/>
            <w:tcW w:w="2200" w:type="dxa"/>
          </w:tcPr>
          <w:p>
            <w:r>
              <w:rPr>
                <w:rFonts w:ascii="Aptos" w:hAnsi="Aptos"/>
                <w:sz w:val="17"/>
                <w:b/>
                <w:color w:val="1F4E79"/>
              </w:rPr>
              <w:t xml:space="preserve">Material impact</w:t>
            </w:r>
          </w:p>
        </w:tc>
        <w:tc>
          <w:tcPr>
            <w:tcW w:w="7000" w:type="dxa"/>
          </w:tcPr>
          <w:p>
            <w:r>
              <w:rPr>
                <w:rFonts w:ascii="Aptos" w:hAnsi="Aptos"/>
                <w:sz w:val="17"/>
              </w:rPr>
              <w:t xml:space="preserve">Potential patent/product exposure, injunction or redesign costs, and inability to validate the defense.</w:t>
            </w:r>
          </w:p>
        </w:tc>
      </w:tr>
      <w:tr>
        <w:tc>
          <w:tcPr>
            <w:shd w:fill="D9EAF7"/>
            <w:tcW w:w="2200" w:type="dxa"/>
          </w:tcPr>
          <w:p>
            <w:r>
              <w:rPr>
                <w:rFonts w:ascii="Aptos" w:hAnsi="Aptos"/>
                <w:sz w:val="17"/>
                <w:b/>
                <w:color w:val="1F4E79"/>
              </w:rPr>
              <w:t xml:space="preserve">Recommended action</w:t>
            </w:r>
          </w:p>
        </w:tc>
        <w:tc>
          <w:tcPr>
            <w:tcW w:w="7000" w:type="dxa"/>
          </w:tcPr>
          <w:p>
            <w:r>
              <w:rPr>
                <w:rFonts w:ascii="Aptos" w:hAnsi="Aptos"/>
                <w:sz w:val="17"/>
              </w:rPr>
              <w:t xml:space="preserve">Require production of testing data, communications, claim charts, and counsel opinion; obtain an updated independent opinion. Add a specific indemnity and dedicated escrow/cap, and consider a closing condition.</w:t>
            </w:r>
          </w:p>
        </w:tc>
      </w:tr>
    </w:tbl>
    <w:p>
      <w:pPr>
        <w:spacing w:before="180" w:after="60"/>
      </w:pPr>
      <w:r>
        <w:rPr>
          <w:rFonts w:ascii="Aptos" w:hAnsi="Aptos"/>
          <w:sz w:val="23"/>
          <w:b/>
          <w:color w:val="C00000"/>
        </w:rPr>
        <w:t xml:space="preserve">3. Undisclosed Kessler change-of-control right — CRITICAL</w:t>
      </w:r>
    </w:p>
    <w:tbl>
      <w:tblPr>
        <w:tblBorders>
          <w:top w:val="single" w:sz="4" w:color="B7C9D6"/>
          <w:left w:val="single" w:sz="4" w:color="B7C9D6"/>
          <w:bottom w:val="single" w:sz="4" w:color="B7C9D6"/>
          <w:right w:val="single" w:sz="4" w:color="B7C9D6"/>
          <w:insideH w:val="single" w:sz="4" w:color="D9E2F3"/>
          <w:insideV w:val="single" w:sz="4" w:color="D9E2F3"/>
        </w:tblBorders>
      </w:tblPr>
      <w:tr>
        <w:tc>
          <w:tcPr>
            <w:shd w:fill="D9EAF7"/>
            <w:tcW w:w="2200" w:type="dxa"/>
          </w:tcPr>
          <w:p>
            <w:r>
              <w:rPr>
                <w:rFonts w:ascii="Aptos" w:hAnsi="Aptos"/>
                <w:sz w:val="17"/>
                <w:b/>
                <w:color w:val="1F4E79"/>
              </w:rPr>
              <w:t xml:space="preserve">SPA / schedule</w:t>
            </w:r>
          </w:p>
        </w:tc>
        <w:tc>
          <w:tcPr>
            <w:tcW w:w="7000" w:type="dxa"/>
          </w:tcPr>
          <w:p>
            <w:r>
              <w:rPr>
                <w:rFonts w:ascii="Aptos" w:hAnsi="Aptos"/>
                <w:sz w:val="17"/>
              </w:rPr>
              <w:t xml:space="preserve">SPA §3.16; material-contract disclosure schedule</w:t>
            </w:r>
          </w:p>
        </w:tc>
      </w:tr>
      <w:tr>
        <w:tc>
          <w:tcPr>
            <w:shd w:fill="D9EAF7"/>
            <w:tcW w:w="2200" w:type="dxa"/>
          </w:tcPr>
          <w:p>
            <w:r>
              <w:rPr>
                <w:rFonts w:ascii="Aptos" w:hAnsi="Aptos"/>
                <w:sz w:val="17"/>
                <w:b/>
                <w:color w:val="1F4E79"/>
              </w:rPr>
              <w:t xml:space="preserve">Seller representation / disclosure</w:t>
            </w:r>
          </w:p>
        </w:tc>
        <w:tc>
          <w:tcPr>
            <w:tcW w:w="7000" w:type="dxa"/>
          </w:tcPr>
          <w:p>
            <w:r>
              <w:rPr>
                <w:rFonts w:ascii="Aptos" w:hAnsi="Aptos"/>
                <w:sz w:val="17"/>
              </w:rPr>
              <w:t xml:space="preserve">The contract representations and schedules should identify material agreements and termination, consent, or change-of-control rights.</w:t>
            </w:r>
          </w:p>
        </w:tc>
      </w:tr>
      <w:tr>
        <w:tc>
          <w:tcPr>
            <w:shd w:fill="D9EAF7"/>
            <w:tcW w:w="2200" w:type="dxa"/>
          </w:tcPr>
          <w:p>
            <w:r>
              <w:rPr>
                <w:rFonts w:ascii="Aptos" w:hAnsi="Aptos"/>
                <w:sz w:val="17"/>
                <w:b/>
                <w:color w:val="1F4E79"/>
              </w:rPr>
              <w:t xml:space="preserve">Diligence discrepancy</w:t>
            </w:r>
          </w:p>
        </w:tc>
        <w:tc>
          <w:tcPr>
            <w:tcW w:w="7000" w:type="dxa"/>
          </w:tcPr>
          <w:p>
            <w:r>
              <w:rPr>
                <w:rFonts w:ascii="Aptos" w:hAnsi="Aptos"/>
                <w:sz w:val="17"/>
              </w:rPr>
              <w:t xml:space="preserve">Kessler Heavy Industries' MSA contains an undisclosed change-of-control termination right. Kessler represents approximately 20.6% of Company revenue.</w:t>
            </w:r>
          </w:p>
        </w:tc>
      </w:tr>
      <w:tr>
        <w:tc>
          <w:tcPr>
            <w:shd w:fill="D9EAF7"/>
            <w:tcW w:w="2200" w:type="dxa"/>
          </w:tcPr>
          <w:p>
            <w:r>
              <w:rPr>
                <w:rFonts w:ascii="Aptos" w:hAnsi="Aptos"/>
                <w:sz w:val="17"/>
                <w:b/>
                <w:color w:val="1F4E79"/>
              </w:rPr>
              <w:t xml:space="preserve">Material impact</w:t>
            </w:r>
          </w:p>
        </w:tc>
        <w:tc>
          <w:tcPr>
            <w:tcW w:w="7000" w:type="dxa"/>
          </w:tcPr>
          <w:p>
            <w:r>
              <w:rPr>
                <w:rFonts w:ascii="Aptos" w:hAnsi="Aptos"/>
                <w:sz w:val="17"/>
              </w:rPr>
              <w:t xml:space="preserve">A customer could terminate after closing, creating immediate revenue concentration and valuation risk.</w:t>
            </w:r>
          </w:p>
        </w:tc>
      </w:tr>
      <w:tr>
        <w:tc>
          <w:tcPr>
            <w:shd w:fill="D9EAF7"/>
            <w:tcW w:w="2200" w:type="dxa"/>
          </w:tcPr>
          <w:p>
            <w:r>
              <w:rPr>
                <w:rFonts w:ascii="Aptos" w:hAnsi="Aptos"/>
                <w:sz w:val="17"/>
                <w:b/>
                <w:color w:val="1F4E79"/>
              </w:rPr>
              <w:t xml:space="preserve">Recommended action</w:t>
            </w:r>
          </w:p>
        </w:tc>
        <w:tc>
          <w:tcPr>
            <w:tcW w:w="7000" w:type="dxa"/>
          </w:tcPr>
          <w:p>
            <w:r>
              <w:rPr>
                <w:rFonts w:ascii="Aptos" w:hAnsi="Aptos"/>
                <w:sz w:val="17"/>
              </w:rPr>
              <w:t xml:space="preserve">Obtain written consent or waiver before signing/closing and make consent a closing condition. Add a specific indemnity and price/escrow protection; reassess valuation if consent is unavailable.</w:t>
            </w:r>
          </w:p>
        </w:tc>
      </w:tr>
    </w:tbl>
    <w:p>
      <w:pPr>
        <w:spacing w:before="180" w:after="60"/>
      </w:pPr>
      <w:r>
        <w:rPr>
          <w:rFonts w:ascii="Aptos" w:hAnsi="Aptos"/>
          <w:sz w:val="23"/>
          <w:b/>
          <w:color w:val="C00000"/>
        </w:rPr>
        <w:t xml:space="preserve">4. Expired NorthPoint MSA — CRITICAL</w:t>
      </w:r>
    </w:p>
    <w:tbl>
      <w:tblPr>
        <w:tblBorders>
          <w:top w:val="single" w:sz="4" w:color="B7C9D6"/>
          <w:left w:val="single" w:sz="4" w:color="B7C9D6"/>
          <w:bottom w:val="single" w:sz="4" w:color="B7C9D6"/>
          <w:right w:val="single" w:sz="4" w:color="B7C9D6"/>
          <w:insideH w:val="single" w:sz="4" w:color="D9E2F3"/>
          <w:insideV w:val="single" w:sz="4" w:color="D9E2F3"/>
        </w:tblBorders>
      </w:tblPr>
      <w:tr>
        <w:tc>
          <w:tcPr>
            <w:shd w:fill="D9EAF7"/>
            <w:tcW w:w="2200" w:type="dxa"/>
          </w:tcPr>
          <w:p>
            <w:r>
              <w:rPr>
                <w:rFonts w:ascii="Aptos" w:hAnsi="Aptos"/>
                <w:sz w:val="17"/>
                <w:b/>
                <w:color w:val="1F4E79"/>
              </w:rPr>
              <w:t xml:space="preserve">SPA / schedule</w:t>
            </w:r>
          </w:p>
        </w:tc>
        <w:tc>
          <w:tcPr>
            <w:tcW w:w="7000" w:type="dxa"/>
          </w:tcPr>
          <w:p>
            <w:r>
              <w:rPr>
                <w:rFonts w:ascii="Aptos" w:hAnsi="Aptos"/>
                <w:sz w:val="17"/>
              </w:rPr>
              <w:t xml:space="preserve">SPA §3.16; material-contract disclosure schedule</w:t>
            </w:r>
          </w:p>
        </w:tc>
      </w:tr>
      <w:tr>
        <w:tc>
          <w:tcPr>
            <w:shd w:fill="D9EAF7"/>
            <w:tcW w:w="2200" w:type="dxa"/>
          </w:tcPr>
          <w:p>
            <w:r>
              <w:rPr>
                <w:rFonts w:ascii="Aptos" w:hAnsi="Aptos"/>
                <w:sz w:val="17"/>
                <w:b/>
                <w:color w:val="1F4E79"/>
              </w:rPr>
              <w:t xml:space="preserve">Seller representation / disclosure</w:t>
            </w:r>
          </w:p>
        </w:tc>
        <w:tc>
          <w:tcPr>
            <w:tcW w:w="7000" w:type="dxa"/>
          </w:tcPr>
          <w:p>
            <w:r>
              <w:rPr>
                <w:rFonts w:ascii="Aptos" w:hAnsi="Aptos"/>
                <w:sz w:val="17"/>
              </w:rPr>
              <w:t xml:space="preserve">The disclosures should accurately identify material contracts and their expiration or renewal status.</w:t>
            </w:r>
          </w:p>
        </w:tc>
      </w:tr>
      <w:tr>
        <w:tc>
          <w:tcPr>
            <w:shd w:fill="D9EAF7"/>
            <w:tcW w:w="2200" w:type="dxa"/>
          </w:tcPr>
          <w:p>
            <w:r>
              <w:rPr>
                <w:rFonts w:ascii="Aptos" w:hAnsi="Aptos"/>
                <w:sz w:val="17"/>
                <w:b/>
                <w:color w:val="1F4E79"/>
              </w:rPr>
              <w:t xml:space="preserve">Diligence discrepancy</w:t>
            </w:r>
          </w:p>
        </w:tc>
        <w:tc>
          <w:tcPr>
            <w:tcW w:w="7000" w:type="dxa"/>
          </w:tcPr>
          <w:p>
            <w:r>
              <w:rPr>
                <w:rFonts w:ascii="Aptos" w:hAnsi="Aptos"/>
                <w:sz w:val="17"/>
              </w:rPr>
              <w:t xml:space="preserve">The NorthPoint Fabrication MSA, associated with approximately $18.6 million of annual revenue, expired February 28, 2025 and had not been renewed.</w:t>
            </w:r>
          </w:p>
        </w:tc>
      </w:tr>
      <w:tr>
        <w:tc>
          <w:tcPr>
            <w:shd w:fill="D9EAF7"/>
            <w:tcW w:w="2200" w:type="dxa"/>
          </w:tcPr>
          <w:p>
            <w:r>
              <w:rPr>
                <w:rFonts w:ascii="Aptos" w:hAnsi="Aptos"/>
                <w:sz w:val="17"/>
                <w:b/>
                <w:color w:val="1F4E79"/>
              </w:rPr>
              <w:t xml:space="preserve">Material impact</w:t>
            </w:r>
          </w:p>
        </w:tc>
        <w:tc>
          <w:tcPr>
            <w:tcW w:w="7000" w:type="dxa"/>
          </w:tcPr>
          <w:p>
            <w:r>
              <w:rPr>
                <w:rFonts w:ascii="Aptos" w:hAnsi="Aptos"/>
                <w:sz w:val="17"/>
              </w:rPr>
              <w:t xml:space="preserve">Material revenue may be unsupported by a current contract; renewal, pricing, backlog, and continuity are uncertain.</w:t>
            </w:r>
          </w:p>
        </w:tc>
      </w:tr>
      <w:tr>
        <w:tc>
          <w:tcPr>
            <w:shd w:fill="D9EAF7"/>
            <w:tcW w:w="2200" w:type="dxa"/>
          </w:tcPr>
          <w:p>
            <w:r>
              <w:rPr>
                <w:rFonts w:ascii="Aptos" w:hAnsi="Aptos"/>
                <w:sz w:val="17"/>
                <w:b/>
                <w:color w:val="1F4E79"/>
              </w:rPr>
              <w:t xml:space="preserve">Recommended action</w:t>
            </w:r>
          </w:p>
        </w:tc>
        <w:tc>
          <w:tcPr>
            <w:tcW w:w="7000" w:type="dxa"/>
          </w:tcPr>
          <w:p>
            <w:r>
              <w:rPr>
                <w:rFonts w:ascii="Aptos" w:hAnsi="Aptos"/>
                <w:sz w:val="17"/>
              </w:rPr>
              <w:t xml:space="preserve">Obtain and diligence an executed renewal or replacement before signing or make it a closing condition. Confirm term, pricing, volume, backlog, and customer intent; adjust valuation and require tailored protection.</w:t>
            </w:r>
          </w:p>
        </w:tc>
      </w:tr>
    </w:tbl>
    <w:p>
      <w:pPr>
        <w:spacing w:before="180" w:after="60"/>
      </w:pPr>
      <w:r>
        <w:rPr>
          <w:rFonts w:ascii="Aptos" w:hAnsi="Aptos"/>
          <w:sz w:val="23"/>
          <w:b/>
          <w:color w:val="C06000"/>
        </w:rPr>
        <w:t xml:space="preserve">5. Dayton environmental condition omitted — HIGH</w:t>
      </w:r>
    </w:p>
    <w:tbl>
      <w:tblPr>
        <w:tblBorders>
          <w:top w:val="single" w:sz="4" w:color="B7C9D6"/>
          <w:left w:val="single" w:sz="4" w:color="B7C9D6"/>
          <w:bottom w:val="single" w:sz="4" w:color="B7C9D6"/>
          <w:right w:val="single" w:sz="4" w:color="B7C9D6"/>
          <w:insideH w:val="single" w:sz="4" w:color="D9E2F3"/>
          <w:insideV w:val="single" w:sz="4" w:color="D9E2F3"/>
        </w:tblBorders>
      </w:tblPr>
      <w:tr>
        <w:tc>
          <w:tcPr>
            <w:shd w:fill="D9EAF7"/>
            <w:tcW w:w="2200" w:type="dxa"/>
          </w:tcPr>
          <w:p>
            <w:r>
              <w:rPr>
                <w:rFonts w:ascii="Aptos" w:hAnsi="Aptos"/>
                <w:sz w:val="17"/>
                <w:b/>
                <w:color w:val="1F4E79"/>
              </w:rPr>
              <w:t xml:space="preserve">SPA / schedule</w:t>
            </w:r>
          </w:p>
        </w:tc>
        <w:tc>
          <w:tcPr>
            <w:tcW w:w="7000" w:type="dxa"/>
          </w:tcPr>
          <w:p>
            <w:r>
              <w:rPr>
                <w:rFonts w:ascii="Aptos" w:hAnsi="Aptos"/>
                <w:sz w:val="17"/>
              </w:rPr>
              <w:t xml:space="preserve">SPA §3.12; Disclosure Schedule 3.12</w:t>
            </w:r>
          </w:p>
        </w:tc>
      </w:tr>
      <w:tr>
        <w:tc>
          <w:tcPr>
            <w:shd w:fill="D9EAF7"/>
            <w:tcW w:w="2200" w:type="dxa"/>
          </w:tcPr>
          <w:p>
            <w:r>
              <w:rPr>
                <w:rFonts w:ascii="Aptos" w:hAnsi="Aptos"/>
                <w:sz w:val="17"/>
                <w:b/>
                <w:color w:val="1F4E79"/>
              </w:rPr>
              <w:t xml:space="preserve">Seller representation / disclosure</w:t>
            </w:r>
          </w:p>
        </w:tc>
        <w:tc>
          <w:tcPr>
            <w:tcW w:w="7000" w:type="dxa"/>
          </w:tcPr>
          <w:p>
            <w:r>
              <w:rPr>
                <w:rFonts w:ascii="Aptos" w:hAnsi="Aptos"/>
                <w:sz w:val="17"/>
              </w:rPr>
              <w:t xml:space="preserve">Schedule 3.12 discloses a July 2023 hydraulic-fluid spill described as remediated with an Ohio EPA closure letter.</w:t>
            </w:r>
          </w:p>
        </w:tc>
      </w:tr>
      <w:tr>
        <w:tc>
          <w:tcPr>
            <w:shd w:fill="D9EAF7"/>
            <w:tcW w:w="2200" w:type="dxa"/>
          </w:tcPr>
          <w:p>
            <w:r>
              <w:rPr>
                <w:rFonts w:ascii="Aptos" w:hAnsi="Aptos"/>
                <w:sz w:val="17"/>
                <w:b/>
                <w:color w:val="1F4E79"/>
              </w:rPr>
              <w:t xml:space="preserve">Diligence discrepancy</w:t>
            </w:r>
          </w:p>
        </w:tc>
        <w:tc>
          <w:tcPr>
            <w:tcW w:w="7000" w:type="dxa"/>
          </w:tcPr>
          <w:p>
            <w:r>
              <w:rPr>
                <w:rFonts w:ascii="Aptos" w:hAnsi="Aptos"/>
                <w:sz w:val="17"/>
              </w:rPr>
              <w:t xml:space="preserve">A Phase I assessment identified a separate recognized environmental condition at Dayton. No Phase II investigation has been completed, and the condition is not disclosed.</w:t>
            </w:r>
          </w:p>
        </w:tc>
      </w:tr>
      <w:tr>
        <w:tc>
          <w:tcPr>
            <w:shd w:fill="D9EAF7"/>
            <w:tcW w:w="2200" w:type="dxa"/>
          </w:tcPr>
          <w:p>
            <w:r>
              <w:rPr>
                <w:rFonts w:ascii="Aptos" w:hAnsi="Aptos"/>
                <w:sz w:val="17"/>
                <w:b/>
                <w:color w:val="1F4E79"/>
              </w:rPr>
              <w:t xml:space="preserve">Material impact</w:t>
            </w:r>
          </w:p>
        </w:tc>
        <w:tc>
          <w:tcPr>
            <w:tcW w:w="7000" w:type="dxa"/>
          </w:tcPr>
          <w:p>
            <w:r>
              <w:rPr>
                <w:rFonts w:ascii="Aptos" w:hAnsi="Aptos"/>
                <w:sz w:val="17"/>
              </w:rPr>
              <w:t xml:space="preserve">Potential investigation, remediation, regulatory, and property-value liability; scope and cost are unknown.</w:t>
            </w:r>
          </w:p>
        </w:tc>
      </w:tr>
      <w:tr>
        <w:tc>
          <w:tcPr>
            <w:shd w:fill="D9EAF7"/>
            <w:tcW w:w="2200" w:type="dxa"/>
          </w:tcPr>
          <w:p>
            <w:r>
              <w:rPr>
                <w:rFonts w:ascii="Aptos" w:hAnsi="Aptos"/>
                <w:sz w:val="17"/>
                <w:b/>
                <w:color w:val="1F4E79"/>
              </w:rPr>
              <w:t xml:space="preserve">Recommended action</w:t>
            </w:r>
          </w:p>
        </w:tc>
        <w:tc>
          <w:tcPr>
            <w:tcW w:w="7000" w:type="dxa"/>
          </w:tcPr>
          <w:p>
            <w:r>
              <w:rPr>
                <w:rFonts w:ascii="Aptos" w:hAnsi="Aptos"/>
                <w:sz w:val="17"/>
              </w:rPr>
              <w:t xml:space="preserve">Correct Schedule 3.12; deliver the full Phase I; commission a Phase II or qualified risk assessment. Add a specific environmental indemnity with extended survival and dedicated escrow/cap.</w:t>
            </w:r>
          </w:p>
        </w:tc>
      </w:tr>
    </w:tbl>
    <w:p>
      <w:pPr>
        <w:spacing w:before="180" w:after="60"/>
      </w:pPr>
      <w:r>
        <w:rPr>
          <w:rFonts w:ascii="Aptos" w:hAnsi="Aptos"/>
          <w:sz w:val="23"/>
          <w:b/>
          <w:color w:val="C06000"/>
        </w:rPr>
        <w:t xml:space="preserve">6. California income-tax nexus and unfiled returns — HIGH</w:t>
      </w:r>
    </w:p>
    <w:tbl>
      <w:tblPr>
        <w:tblBorders>
          <w:top w:val="single" w:sz="4" w:color="B7C9D6"/>
          <w:left w:val="single" w:sz="4" w:color="B7C9D6"/>
          <w:bottom w:val="single" w:sz="4" w:color="B7C9D6"/>
          <w:right w:val="single" w:sz="4" w:color="B7C9D6"/>
          <w:insideH w:val="single" w:sz="4" w:color="D9E2F3"/>
          <w:insideV w:val="single" w:sz="4" w:color="D9E2F3"/>
        </w:tblBorders>
      </w:tblPr>
      <w:tr>
        <w:tc>
          <w:tcPr>
            <w:shd w:fill="D9EAF7"/>
            <w:tcW w:w="2200" w:type="dxa"/>
          </w:tcPr>
          <w:p>
            <w:r>
              <w:rPr>
                <w:rFonts w:ascii="Aptos" w:hAnsi="Aptos"/>
                <w:sz w:val="17"/>
                <w:b/>
                <w:color w:val="1F4E79"/>
              </w:rPr>
              <w:t xml:space="preserve">SPA / schedule</w:t>
            </w:r>
          </w:p>
        </w:tc>
        <w:tc>
          <w:tcPr>
            <w:tcW w:w="7000" w:type="dxa"/>
          </w:tcPr>
          <w:p>
            <w:r>
              <w:rPr>
                <w:rFonts w:ascii="Aptos" w:hAnsi="Aptos"/>
                <w:sz w:val="17"/>
              </w:rPr>
              <w:t xml:space="preserve">SPA §3.14; Disclosure Schedule 3.14</w:t>
            </w:r>
          </w:p>
        </w:tc>
      </w:tr>
      <w:tr>
        <w:tc>
          <w:tcPr>
            <w:shd w:fill="D9EAF7"/>
            <w:tcW w:w="2200" w:type="dxa"/>
          </w:tcPr>
          <w:p>
            <w:r>
              <w:rPr>
                <w:rFonts w:ascii="Aptos" w:hAnsi="Aptos"/>
                <w:sz w:val="17"/>
                <w:b/>
                <w:color w:val="1F4E79"/>
              </w:rPr>
              <w:t xml:space="preserve">Seller representation / disclosure</w:t>
            </w:r>
          </w:p>
        </w:tc>
        <w:tc>
          <w:tcPr>
            <w:tcW w:w="7000" w:type="dxa"/>
          </w:tcPr>
          <w:p>
            <w:r>
              <w:rPr>
                <w:rFonts w:ascii="Aptos" w:hAnsi="Aptos"/>
                <w:sz w:val="17"/>
              </w:rPr>
              <w:t xml:space="preserve">Schedule 3.14 identifies an IRS R&amp;D credit but does not disclose California nexus or unfiled returns.</w:t>
            </w:r>
          </w:p>
        </w:tc>
      </w:tr>
      <w:tr>
        <w:tc>
          <w:tcPr>
            <w:shd w:fill="D9EAF7"/>
            <w:tcW w:w="2200" w:type="dxa"/>
          </w:tcPr>
          <w:p>
            <w:r>
              <w:rPr>
                <w:rFonts w:ascii="Aptos" w:hAnsi="Aptos"/>
                <w:sz w:val="17"/>
                <w:b/>
                <w:color w:val="1F4E79"/>
              </w:rPr>
              <w:t xml:space="preserve">Diligence discrepancy</w:t>
            </w:r>
          </w:p>
        </w:tc>
        <w:tc>
          <w:tcPr>
            <w:tcW w:w="7000" w:type="dxa"/>
          </w:tcPr>
          <w:p>
            <w:r>
              <w:rPr>
                <w:rFonts w:ascii="Aptos" w:hAnsi="Aptos"/>
                <w:sz w:val="17"/>
              </w:rPr>
              <w:t xml:space="preserve">Diligence identified an unreported physical presence and approximately $3.8 million of California-sourced sales, with no California returns filed since at least 2022.</w:t>
            </w:r>
          </w:p>
        </w:tc>
      </w:tr>
      <w:tr>
        <w:tc>
          <w:tcPr>
            <w:shd w:fill="D9EAF7"/>
            <w:tcW w:w="2200" w:type="dxa"/>
          </w:tcPr>
          <w:p>
            <w:r>
              <w:rPr>
                <w:rFonts w:ascii="Aptos" w:hAnsi="Aptos"/>
                <w:sz w:val="17"/>
                <w:b/>
                <w:color w:val="1F4E79"/>
              </w:rPr>
              <w:t xml:space="preserve">Material impact</w:t>
            </w:r>
          </w:p>
        </w:tc>
        <w:tc>
          <w:tcPr>
            <w:tcW w:w="7000" w:type="dxa"/>
          </w:tcPr>
          <w:p>
            <w:r>
              <w:rPr>
                <w:rFonts w:ascii="Aptos" w:hAnsi="Aptos"/>
                <w:sz w:val="17"/>
              </w:rPr>
              <w:t xml:space="preserve">Potential tax, penalty, interest, registration, and compliance exposure for 2022–2024 and later periods.</w:t>
            </w:r>
          </w:p>
        </w:tc>
      </w:tr>
      <w:tr>
        <w:tc>
          <w:tcPr>
            <w:shd w:fill="D9EAF7"/>
            <w:tcW w:w="2200" w:type="dxa"/>
          </w:tcPr>
          <w:p>
            <w:r>
              <w:rPr>
                <w:rFonts w:ascii="Aptos" w:hAnsi="Aptos"/>
                <w:sz w:val="17"/>
                <w:b/>
                <w:color w:val="1F4E79"/>
              </w:rPr>
              <w:t xml:space="preserve">Recommended action</w:t>
            </w:r>
          </w:p>
        </w:tc>
        <w:tc>
          <w:tcPr>
            <w:tcW w:w="7000" w:type="dxa"/>
          </w:tcPr>
          <w:p>
            <w:r>
              <w:rPr>
                <w:rFonts w:ascii="Aptos" w:hAnsi="Aptos"/>
                <w:sz w:val="17"/>
              </w:rPr>
              <w:t xml:space="preserve">Obtain a state-tax nexus/liability analysis; register and file or amend as appropriate. Add a specific tax indemnity outside the general basket/cap, with tax escrow or withholding if material.</w:t>
            </w:r>
          </w:p>
        </w:tc>
      </w:tr>
    </w:tbl>
    <w:p>
      <w:pPr>
        <w:spacing w:before="180" w:after="60"/>
      </w:pPr>
      <w:r>
        <w:rPr>
          <w:rFonts w:ascii="Aptos" w:hAnsi="Aptos"/>
          <w:sz w:val="23"/>
          <w:b/>
          <w:color w:val="C06000"/>
        </w:rPr>
        <w:t xml:space="preserve">7. Recurring COVID supply-chain add-back — HIGH</w:t>
      </w:r>
    </w:p>
    <w:tbl>
      <w:tblPr>
        <w:tblBorders>
          <w:top w:val="single" w:sz="4" w:color="B7C9D6"/>
          <w:left w:val="single" w:sz="4" w:color="B7C9D6"/>
          <w:bottom w:val="single" w:sz="4" w:color="B7C9D6"/>
          <w:right w:val="single" w:sz="4" w:color="B7C9D6"/>
          <w:insideH w:val="single" w:sz="4" w:color="D9E2F3"/>
          <w:insideV w:val="single" w:sz="4" w:color="D9E2F3"/>
        </w:tblBorders>
      </w:tblPr>
      <w:tr>
        <w:tc>
          <w:tcPr>
            <w:shd w:fill="D9EAF7"/>
            <w:tcW w:w="2200" w:type="dxa"/>
          </w:tcPr>
          <w:p>
            <w:r>
              <w:rPr>
                <w:rFonts w:ascii="Aptos" w:hAnsi="Aptos"/>
                <w:sz w:val="17"/>
                <w:b/>
                <w:color w:val="1F4E79"/>
              </w:rPr>
              <w:t xml:space="preserve">SPA / schedule</w:t>
            </w:r>
          </w:p>
        </w:tc>
        <w:tc>
          <w:tcPr>
            <w:tcW w:w="7000" w:type="dxa"/>
          </w:tcPr>
          <w:p>
            <w:r>
              <w:rPr>
                <w:rFonts w:ascii="Aptos" w:hAnsi="Aptos"/>
                <w:sz w:val="17"/>
              </w:rPr>
              <w:t xml:space="preserve">SPA §3.4 and EBITDA/purchase-price adjustment provisions</w:t>
            </w:r>
          </w:p>
        </w:tc>
      </w:tr>
      <w:tr>
        <w:tc>
          <w:tcPr>
            <w:shd w:fill="D9EAF7"/>
            <w:tcW w:w="2200" w:type="dxa"/>
          </w:tcPr>
          <w:p>
            <w:r>
              <w:rPr>
                <w:rFonts w:ascii="Aptos" w:hAnsi="Aptos"/>
                <w:sz w:val="17"/>
                <w:b/>
                <w:color w:val="1F4E79"/>
              </w:rPr>
              <w:t xml:space="preserve">Seller representation / disclosure</w:t>
            </w:r>
          </w:p>
        </w:tc>
        <w:tc>
          <w:tcPr>
            <w:tcW w:w="7000" w:type="dxa"/>
          </w:tcPr>
          <w:p>
            <w:r>
              <w:rPr>
                <w:rFonts w:ascii="Aptos" w:hAnsi="Aptos"/>
                <w:sz w:val="17"/>
              </w:rPr>
              <w:t xml:space="preserve">The draft financial presentation treats a $0.60 million COVID-related supply-chain charge as non-recurring and adds it back to EBITDA.</w:t>
            </w:r>
          </w:p>
        </w:tc>
      </w:tr>
      <w:tr>
        <w:tc>
          <w:tcPr>
            <w:shd w:fill="D9EAF7"/>
            <w:tcW w:w="2200" w:type="dxa"/>
          </w:tcPr>
          <w:p>
            <w:r>
              <w:rPr>
                <w:rFonts w:ascii="Aptos" w:hAnsi="Aptos"/>
                <w:sz w:val="17"/>
                <w:b/>
                <w:color w:val="1F4E79"/>
              </w:rPr>
              <w:t xml:space="preserve">Diligence discrepancy</w:t>
            </w:r>
          </w:p>
        </w:tc>
        <w:tc>
          <w:tcPr>
            <w:tcW w:w="7000" w:type="dxa"/>
          </w:tcPr>
          <w:p>
            <w:r>
              <w:rPr>
                <w:rFonts w:ascii="Aptos" w:hAnsi="Aptos"/>
                <w:sz w:val="17"/>
              </w:rPr>
              <w:t xml:space="preserve">The updated bridge breaks it into approximately $0.38 million of recurring expedited freight and premium supplier charges and approximately $0.22 million of one-time inventory obsolescence.</w:t>
            </w:r>
          </w:p>
        </w:tc>
      </w:tr>
      <w:tr>
        <w:tc>
          <w:tcPr>
            <w:shd w:fill="D9EAF7"/>
            <w:tcW w:w="2200" w:type="dxa"/>
          </w:tcPr>
          <w:p>
            <w:r>
              <w:rPr>
                <w:rFonts w:ascii="Aptos" w:hAnsi="Aptos"/>
                <w:sz w:val="17"/>
                <w:b/>
                <w:color w:val="1F4E79"/>
              </w:rPr>
              <w:t xml:space="preserve">Material impact</w:t>
            </w:r>
          </w:p>
        </w:tc>
        <w:tc>
          <w:tcPr>
            <w:tcW w:w="7000" w:type="dxa"/>
          </w:tcPr>
          <w:p>
            <w:r>
              <w:rPr>
                <w:rFonts w:ascii="Aptos" w:hAnsi="Aptos"/>
                <w:sz w:val="17"/>
              </w:rPr>
              <w:t xml:space="preserve">EBITDA is overstated by approximately $0.38 million. At 9.5x, the indicated price effect is approximately $3.61 million; supported EBITDA is approximately $29.83 million and implied value approximately $283.4 million.</w:t>
            </w:r>
          </w:p>
        </w:tc>
      </w:tr>
      <w:tr>
        <w:tc>
          <w:tcPr>
            <w:shd w:fill="D9EAF7"/>
            <w:tcW w:w="2200" w:type="dxa"/>
          </w:tcPr>
          <w:p>
            <w:r>
              <w:rPr>
                <w:rFonts w:ascii="Aptos" w:hAnsi="Aptos"/>
                <w:sz w:val="17"/>
                <w:b/>
                <w:color w:val="1F4E79"/>
              </w:rPr>
              <w:t xml:space="preserve">Recommended action</w:t>
            </w:r>
          </w:p>
        </w:tc>
        <w:tc>
          <w:tcPr>
            <w:tcW w:w="7000" w:type="dxa"/>
          </w:tcPr>
          <w:p>
            <w:r>
              <w:rPr>
                <w:rFonts w:ascii="Aptos" w:hAnsi="Aptos"/>
                <w:sz w:val="17"/>
              </w:rPr>
              <w:t xml:space="preserve">Remove the recurring $0.38 million; permit no more than the supported $0.22 million after verifying journal entries. Revise the EBITDA definition and preserve buyer adjustment rights.</w:t>
            </w:r>
          </w:p>
        </w:tc>
      </w:tr>
    </w:tbl>
    <w:p>
      <w:pPr>
        <w:spacing w:before="180" w:after="60"/>
      </w:pPr>
      <w:r>
        <w:rPr>
          <w:rFonts w:ascii="Aptos" w:hAnsi="Aptos"/>
          <w:sz w:val="23"/>
          <w:b/>
          <w:color w:val="C06000"/>
        </w:rPr>
        <w:t xml:space="preserve">8. Pension unfunded liability understated — HIGH</w:t>
      </w:r>
    </w:p>
    <w:tbl>
      <w:tblPr>
        <w:tblBorders>
          <w:top w:val="single" w:sz="4" w:color="B7C9D6"/>
          <w:left w:val="single" w:sz="4" w:color="B7C9D6"/>
          <w:bottom w:val="single" w:sz="4" w:color="B7C9D6"/>
          <w:right w:val="single" w:sz="4" w:color="B7C9D6"/>
          <w:insideH w:val="single" w:sz="4" w:color="D9E2F3"/>
          <w:insideV w:val="single" w:sz="4" w:color="D9E2F3"/>
        </w:tblBorders>
      </w:tblPr>
      <w:tr>
        <w:tc>
          <w:tcPr>
            <w:shd w:fill="D9EAF7"/>
            <w:tcW w:w="2200" w:type="dxa"/>
          </w:tcPr>
          <w:p>
            <w:r>
              <w:rPr>
                <w:rFonts w:ascii="Aptos" w:hAnsi="Aptos"/>
                <w:sz w:val="17"/>
                <w:b/>
                <w:color w:val="1F4E79"/>
              </w:rPr>
              <w:t xml:space="preserve">SPA / schedule</w:t>
            </w:r>
          </w:p>
        </w:tc>
        <w:tc>
          <w:tcPr>
            <w:tcW w:w="7000" w:type="dxa"/>
          </w:tcPr>
          <w:p>
            <w:r>
              <w:rPr>
                <w:rFonts w:ascii="Aptos" w:hAnsi="Aptos"/>
                <w:sz w:val="17"/>
              </w:rPr>
              <w:t xml:space="preserve">SPA §3.6; employee-benefit representations and schedules</w:t>
            </w:r>
          </w:p>
        </w:tc>
      </w:tr>
      <w:tr>
        <w:tc>
          <w:tcPr>
            <w:shd w:fill="D9EAF7"/>
            <w:tcW w:w="2200" w:type="dxa"/>
          </w:tcPr>
          <w:p>
            <w:r>
              <w:rPr>
                <w:rFonts w:ascii="Aptos" w:hAnsi="Aptos"/>
                <w:sz w:val="17"/>
                <w:b/>
                <w:color w:val="1F4E79"/>
              </w:rPr>
              <w:t xml:space="preserve">Seller representation / disclosure</w:t>
            </w:r>
          </w:p>
        </w:tc>
        <w:tc>
          <w:tcPr>
            <w:tcW w:w="7000" w:type="dxa"/>
          </w:tcPr>
          <w:p>
            <w:r>
              <w:rPr>
                <w:rFonts w:ascii="Aptos" w:hAnsi="Aptos"/>
                <w:sz w:val="17"/>
              </w:rPr>
              <w:t xml:space="preserve">The financial and liability disclosures do not fully reflect the updated pension obligation.</w:t>
            </w:r>
          </w:p>
        </w:tc>
      </w:tr>
      <w:tr>
        <w:tc>
          <w:tcPr>
            <w:shd w:fill="D9EAF7"/>
            <w:tcW w:w="2200" w:type="dxa"/>
          </w:tcPr>
          <w:p>
            <w:r>
              <w:rPr>
                <w:rFonts w:ascii="Aptos" w:hAnsi="Aptos"/>
                <w:sz w:val="17"/>
                <w:b/>
                <w:color w:val="1F4E79"/>
              </w:rPr>
              <w:t xml:space="preserve">Diligence discrepancy</w:t>
            </w:r>
          </w:p>
        </w:tc>
        <w:tc>
          <w:tcPr>
            <w:tcW w:w="7000" w:type="dxa"/>
          </w:tcPr>
          <w:p>
            <w:r>
              <w:rPr>
                <w:rFonts w:ascii="Aptos" w:hAnsi="Aptos"/>
                <w:sz w:val="17"/>
              </w:rPr>
              <w:t xml:space="preserve">Updated actuarial assumptions indicate the unfunded pension liability is understated by approximately $2.5 million.</w:t>
            </w:r>
          </w:p>
        </w:tc>
      </w:tr>
      <w:tr>
        <w:tc>
          <w:tcPr>
            <w:shd w:fill="D9EAF7"/>
            <w:tcW w:w="2200" w:type="dxa"/>
          </w:tcPr>
          <w:p>
            <w:r>
              <w:rPr>
                <w:rFonts w:ascii="Aptos" w:hAnsi="Aptos"/>
                <w:sz w:val="17"/>
                <w:b/>
                <w:color w:val="1F4E79"/>
              </w:rPr>
              <w:t xml:space="preserve">Material impact</w:t>
            </w:r>
          </w:p>
        </w:tc>
        <w:tc>
          <w:tcPr>
            <w:tcW w:w="7000" w:type="dxa"/>
          </w:tcPr>
          <w:p>
            <w:r>
              <w:rPr>
                <w:rFonts w:ascii="Aptos" w:hAnsi="Aptos"/>
                <w:sz w:val="17"/>
              </w:rPr>
              <w:t xml:space="preserve">Net debt, working capital, and liabilities are understated; Buyer may inherit a material funding obligation.</w:t>
            </w:r>
          </w:p>
        </w:tc>
      </w:tr>
      <w:tr>
        <w:tc>
          <w:tcPr>
            <w:shd w:fill="D9EAF7"/>
            <w:tcW w:w="2200" w:type="dxa"/>
          </w:tcPr>
          <w:p>
            <w:r>
              <w:rPr>
                <w:rFonts w:ascii="Aptos" w:hAnsi="Aptos"/>
                <w:sz w:val="17"/>
                <w:b/>
                <w:color w:val="1F4E79"/>
              </w:rPr>
              <w:t xml:space="preserve">Recommended action</w:t>
            </w:r>
          </w:p>
        </w:tc>
        <w:tc>
          <w:tcPr>
            <w:tcW w:w="7000" w:type="dxa"/>
          </w:tcPr>
          <w:p>
            <w:r>
              <w:rPr>
                <w:rFonts w:ascii="Aptos" w:hAnsi="Aptos"/>
                <w:sz w:val="17"/>
              </w:rPr>
              <w:t xml:space="preserve">Obtain the updated actuarial report and reconcile the liability. Require a balance-sheet adjustment or price reduction and a specific indemnity for pre-closing underfunding and related fees.</w:t>
            </w:r>
          </w:p>
        </w:tc>
      </w:tr>
    </w:tbl>
    <w:p>
      <w:pPr>
        <w:spacing w:before="180" w:after="60"/>
      </w:pPr>
      <w:r>
        <w:rPr>
          <w:rFonts w:ascii="Aptos" w:hAnsi="Aptos"/>
          <w:sz w:val="23"/>
          <w:b/>
          <w:color w:val="C06000"/>
        </w:rPr>
        <w:t xml:space="preserve">9. Martinez product-liability coverage gap — HIGH</w:t>
      </w:r>
    </w:p>
    <w:tbl>
      <w:tblPr>
        <w:tblBorders>
          <w:top w:val="single" w:sz="4" w:color="B7C9D6"/>
          <w:left w:val="single" w:sz="4" w:color="B7C9D6"/>
          <w:bottom w:val="single" w:sz="4" w:color="B7C9D6"/>
          <w:right w:val="single" w:sz="4" w:color="B7C9D6"/>
          <w:insideH w:val="single" w:sz="4" w:color="D9E2F3"/>
          <w:insideV w:val="single" w:sz="4" w:color="D9E2F3"/>
        </w:tblBorders>
      </w:tblPr>
      <w:tr>
        <w:tc>
          <w:tcPr>
            <w:shd w:fill="D9EAF7"/>
            <w:tcW w:w="2200" w:type="dxa"/>
          </w:tcPr>
          <w:p>
            <w:r>
              <w:rPr>
                <w:rFonts w:ascii="Aptos" w:hAnsi="Aptos"/>
                <w:sz w:val="17"/>
                <w:b/>
                <w:color w:val="1F4E79"/>
              </w:rPr>
              <w:t xml:space="preserve">SPA / schedule</w:t>
            </w:r>
          </w:p>
        </w:tc>
        <w:tc>
          <w:tcPr>
            <w:tcW w:w="7000" w:type="dxa"/>
          </w:tcPr>
          <w:p>
            <w:r>
              <w:rPr>
                <w:rFonts w:ascii="Aptos" w:hAnsi="Aptos"/>
                <w:sz w:val="17"/>
              </w:rPr>
              <w:t xml:space="preserve">SPA §§3.10 and 3.13; Disclosure Schedules 3.10 and 3.13</w:t>
            </w:r>
          </w:p>
        </w:tc>
      </w:tr>
      <w:tr>
        <w:tc>
          <w:tcPr>
            <w:shd w:fill="D9EAF7"/>
            <w:tcW w:w="2200" w:type="dxa"/>
          </w:tcPr>
          <w:p>
            <w:r>
              <w:rPr>
                <w:rFonts w:ascii="Aptos" w:hAnsi="Aptos"/>
                <w:sz w:val="17"/>
                <w:b/>
                <w:color w:val="1F4E79"/>
              </w:rPr>
              <w:t xml:space="preserve">Seller representation / disclosure</w:t>
            </w:r>
          </w:p>
        </w:tc>
        <w:tc>
          <w:tcPr>
            <w:tcW w:w="7000" w:type="dxa"/>
          </w:tcPr>
          <w:p>
            <w:r>
              <w:rPr>
                <w:rFonts w:ascii="Aptos" w:hAnsi="Aptos"/>
                <w:sz w:val="17"/>
              </w:rPr>
              <w:t xml:space="preserve">Schedule 3.10 discloses Martinez v. PrecisionFlow; Schedule 3.13 shows $10 million per-occurrence CGL/product-liability limits and no umbrella/excess coverage.</w:t>
            </w:r>
          </w:p>
        </w:tc>
      </w:tr>
      <w:tr>
        <w:tc>
          <w:tcPr>
            <w:shd w:fill="D9EAF7"/>
            <w:tcW w:w="2200" w:type="dxa"/>
          </w:tcPr>
          <w:p>
            <w:r>
              <w:rPr>
                <w:rFonts w:ascii="Aptos" w:hAnsi="Aptos"/>
                <w:sz w:val="17"/>
                <w:b/>
                <w:color w:val="1F4E79"/>
              </w:rPr>
              <w:t xml:space="preserve">Diligence discrepancy</w:t>
            </w:r>
          </w:p>
        </w:tc>
        <w:tc>
          <w:tcPr>
            <w:tcW w:w="7000" w:type="dxa"/>
          </w:tcPr>
          <w:p>
            <w:r>
              <w:rPr>
                <w:rFonts w:ascii="Aptos" w:hAnsi="Aptos"/>
                <w:sz w:val="17"/>
              </w:rPr>
              <w:t xml:space="preserve">The Martinez demand is approximately $12 million, exceeding the per-occurrence limit by $2 million. Defense is accepted under a reservation of rights.</w:t>
            </w:r>
          </w:p>
        </w:tc>
      </w:tr>
      <w:tr>
        <w:tc>
          <w:tcPr>
            <w:shd w:fill="D9EAF7"/>
            <w:tcW w:w="2200" w:type="dxa"/>
          </w:tcPr>
          <w:p>
            <w:r>
              <w:rPr>
                <w:rFonts w:ascii="Aptos" w:hAnsi="Aptos"/>
                <w:sz w:val="17"/>
                <w:b/>
                <w:color w:val="1F4E79"/>
              </w:rPr>
              <w:t xml:space="preserve">Material impact</w:t>
            </w:r>
          </w:p>
        </w:tc>
        <w:tc>
          <w:tcPr>
            <w:tcW w:w="7000" w:type="dxa"/>
          </w:tcPr>
          <w:p>
            <w:r>
              <w:rPr>
                <w:rFonts w:ascii="Aptos" w:hAnsi="Aptos"/>
                <w:sz w:val="17"/>
              </w:rPr>
              <w:t xml:space="preserve">Potential $2 million uninsured gap, plus defense costs and possible coverage defenses.</w:t>
            </w:r>
          </w:p>
        </w:tc>
      </w:tr>
      <w:tr>
        <w:tc>
          <w:tcPr>
            <w:shd w:fill="D9EAF7"/>
            <w:tcW w:w="2200" w:type="dxa"/>
          </w:tcPr>
          <w:p>
            <w:r>
              <w:rPr>
                <w:rFonts w:ascii="Aptos" w:hAnsi="Aptos"/>
                <w:sz w:val="17"/>
                <w:b/>
                <w:color w:val="1F4E79"/>
              </w:rPr>
              <w:t xml:space="preserve">Recommended action</w:t>
            </w:r>
          </w:p>
        </w:tc>
        <w:tc>
          <w:tcPr>
            <w:tcW w:w="7000" w:type="dxa"/>
          </w:tcPr>
          <w:p>
            <w:r>
              <w:rPr>
                <w:rFonts w:ascii="Aptos" w:hAnsi="Aptos"/>
                <w:sz w:val="17"/>
              </w:rPr>
              <w:t xml:space="preserve">Obtain the complete policy, reservation letter, pleadings, demand, defense assessment, and carrier position. Require seller-funded escrow or specific indemnity and preserve claim-control/cooperation rights.</w:t>
            </w:r>
          </w:p>
        </w:tc>
      </w:tr>
    </w:tbl>
    <w:p>
      <w:pPr>
        <w:spacing w:before="180" w:after="60"/>
      </w:pPr>
      <w:r>
        <w:rPr>
          <w:rFonts w:ascii="Aptos" w:hAnsi="Aptos"/>
          <w:sz w:val="23"/>
          <w:b/>
          <w:color w:val="C00000"/>
        </w:rPr>
        <w:t xml:space="preserve">10. Disputed Karen Beecham share interest — CRITICAL</w:t>
      </w:r>
    </w:p>
    <w:tbl>
      <w:tblPr>
        <w:tblBorders>
          <w:top w:val="single" w:sz="4" w:color="B7C9D6"/>
          <w:left w:val="single" w:sz="4" w:color="B7C9D6"/>
          <w:bottom w:val="single" w:sz="4" w:color="B7C9D6"/>
          <w:right w:val="single" w:sz="4" w:color="B7C9D6"/>
          <w:insideH w:val="single" w:sz="4" w:color="D9E2F3"/>
          <w:insideV w:val="single" w:sz="4" w:color="D9E2F3"/>
        </w:tblBorders>
      </w:tblPr>
      <w:tr>
        <w:tc>
          <w:tcPr>
            <w:shd w:fill="D9EAF7"/>
            <w:tcW w:w="2200" w:type="dxa"/>
          </w:tcPr>
          <w:p>
            <w:r>
              <w:rPr>
                <w:rFonts w:ascii="Aptos" w:hAnsi="Aptos"/>
                <w:sz w:val="17"/>
                <w:b/>
                <w:color w:val="1F4E79"/>
              </w:rPr>
              <w:t xml:space="preserve">SPA / schedule</w:t>
            </w:r>
          </w:p>
        </w:tc>
        <w:tc>
          <w:tcPr>
            <w:tcW w:w="7000" w:type="dxa"/>
          </w:tcPr>
          <w:p>
            <w:r>
              <w:rPr>
                <w:rFonts w:ascii="Aptos" w:hAnsi="Aptos"/>
                <w:sz w:val="17"/>
              </w:rPr>
              <w:t xml:space="preserve">SPA §3.3; Disclosure Schedule 3.3; title-to-shares representation</w:t>
            </w:r>
          </w:p>
        </w:tc>
      </w:tr>
      <w:tr>
        <w:tc>
          <w:tcPr>
            <w:shd w:fill="D9EAF7"/>
            <w:tcW w:w="2200" w:type="dxa"/>
          </w:tcPr>
          <w:p>
            <w:r>
              <w:rPr>
                <w:rFonts w:ascii="Aptos" w:hAnsi="Aptos"/>
                <w:sz w:val="17"/>
                <w:b/>
                <w:color w:val="1F4E79"/>
              </w:rPr>
              <w:t xml:space="preserve">Seller representation / disclosure</w:t>
            </w:r>
          </w:p>
        </w:tc>
        <w:tc>
          <w:tcPr>
            <w:tcW w:w="7000" w:type="dxa"/>
          </w:tcPr>
          <w:p>
            <w:r>
              <w:rPr>
                <w:rFonts w:ascii="Aptos" w:hAnsi="Aptos"/>
                <w:sz w:val="17"/>
              </w:rPr>
              <w:t xml:space="preserve">The SPA requires good and marketable title to shares, free of encumbrances; Schedule 3.3 addresses capitalization and ownership.</w:t>
            </w:r>
          </w:p>
        </w:tc>
      </w:tr>
      <w:tr>
        <w:tc>
          <w:tcPr>
            <w:shd w:fill="D9EAF7"/>
            <w:tcW w:w="2200" w:type="dxa"/>
          </w:tcPr>
          <w:p>
            <w:r>
              <w:rPr>
                <w:rFonts w:ascii="Aptos" w:hAnsi="Aptos"/>
                <w:sz w:val="17"/>
                <w:b/>
                <w:color w:val="1F4E79"/>
              </w:rPr>
              <w:t xml:space="preserve">Diligence discrepancy</w:t>
            </w:r>
          </w:p>
        </w:tc>
        <w:tc>
          <w:tcPr>
            <w:tcW w:w="7000" w:type="dxa"/>
          </w:tcPr>
          <w:p>
            <w:r>
              <w:rPr>
                <w:rFonts w:ascii="Aptos" w:hAnsi="Aptos"/>
                <w:sz w:val="17"/>
              </w:rPr>
              <w:t xml:space="preserve">The 2021 divorce/property settlement contains a disputed provision potentially encumbering approximately 3.1% of outstanding shares. The issue was not fully resolved in disclosures.</w:t>
            </w:r>
          </w:p>
        </w:tc>
      </w:tr>
      <w:tr>
        <w:tc>
          <w:tcPr>
            <w:shd w:fill="D9EAF7"/>
            <w:tcW w:w="2200" w:type="dxa"/>
          </w:tcPr>
          <w:p>
            <w:r>
              <w:rPr>
                <w:rFonts w:ascii="Aptos" w:hAnsi="Aptos"/>
                <w:sz w:val="17"/>
                <w:b/>
                <w:color w:val="1F4E79"/>
              </w:rPr>
              <w:t xml:space="preserve">Material impact</w:t>
            </w:r>
          </w:p>
        </w:tc>
        <w:tc>
          <w:tcPr>
            <w:tcW w:w="7000" w:type="dxa"/>
          </w:tcPr>
          <w:p>
            <w:r>
              <w:rPr>
                <w:rFonts w:ascii="Aptos" w:hAnsi="Aptos"/>
                <w:sz w:val="17"/>
              </w:rPr>
              <w:t xml:space="preserve">Potential title defect, ownership challenge, voting/closing impediment, litigation risk, and credibility concern.</w:t>
            </w:r>
          </w:p>
        </w:tc>
      </w:tr>
      <w:tr>
        <w:tc>
          <w:tcPr>
            <w:shd w:fill="D9EAF7"/>
            <w:tcW w:w="2200" w:type="dxa"/>
          </w:tcPr>
          <w:p>
            <w:r>
              <w:rPr>
                <w:rFonts w:ascii="Aptos" w:hAnsi="Aptos"/>
                <w:sz w:val="17"/>
                <w:b/>
                <w:color w:val="1F4E79"/>
              </w:rPr>
              <w:t xml:space="preserve">Recommended action</w:t>
            </w:r>
          </w:p>
        </w:tc>
        <w:tc>
          <w:tcPr>
            <w:tcW w:w="7000" w:type="dxa"/>
          </w:tcPr>
          <w:p>
            <w:r>
              <w:rPr>
                <w:rFonts w:ascii="Aptos" w:hAnsi="Aptos"/>
                <w:sz w:val="17"/>
              </w:rPr>
              <w:t xml:space="preserve">Obtain the divorce decree, settlement, current cap table, releases, and written confirmation of resolution. Require Karen's release/waiver or add her as a party; make clean title a closing condition or require dedicated escrow and indemnity.</w:t>
            </w:r>
          </w:p>
        </w:tc>
      </w:tr>
    </w:tbl>
    <w:p>
      <w:pPr>
        <w:spacing w:before="180" w:after="60"/>
      </w:pPr>
      <w:r>
        <w:rPr>
          <w:rFonts w:ascii="Aptos" w:hAnsi="Aptos"/>
          <w:sz w:val="23"/>
          <w:b/>
          <w:color w:val="806000"/>
        </w:rPr>
        <w:t xml:space="preserve">11. Potential employment/benefit disclosure mismatch — MEDIUM</w:t>
      </w:r>
    </w:p>
    <w:tbl>
      <w:tblPr>
        <w:tblBorders>
          <w:top w:val="single" w:sz="4" w:color="B7C9D6"/>
          <w:left w:val="single" w:sz="4" w:color="B7C9D6"/>
          <w:bottom w:val="single" w:sz="4" w:color="B7C9D6"/>
          <w:right w:val="single" w:sz="4" w:color="B7C9D6"/>
          <w:insideH w:val="single" w:sz="4" w:color="D9E2F3"/>
          <w:insideV w:val="single" w:sz="4" w:color="D9E2F3"/>
        </w:tblBorders>
      </w:tblPr>
      <w:tr>
        <w:tc>
          <w:tcPr>
            <w:shd w:fill="D9EAF7"/>
            <w:tcW w:w="2200" w:type="dxa"/>
          </w:tcPr>
          <w:p>
            <w:r>
              <w:rPr>
                <w:rFonts w:ascii="Aptos" w:hAnsi="Aptos"/>
                <w:sz w:val="17"/>
                <w:b/>
                <w:color w:val="1F4E79"/>
              </w:rPr>
              <w:t xml:space="preserve">SPA / schedule</w:t>
            </w:r>
          </w:p>
        </w:tc>
        <w:tc>
          <w:tcPr>
            <w:tcW w:w="7000" w:type="dxa"/>
          </w:tcPr>
          <w:p>
            <w:r>
              <w:rPr>
                <w:rFonts w:ascii="Aptos" w:hAnsi="Aptos"/>
                <w:sz w:val="17"/>
              </w:rPr>
              <w:t xml:space="preserve">SPA §§3.17–3.18 and related employee-benefit schedules</w:t>
            </w:r>
          </w:p>
        </w:tc>
      </w:tr>
      <w:tr>
        <w:tc>
          <w:tcPr>
            <w:shd w:fill="D9EAF7"/>
            <w:tcW w:w="2200" w:type="dxa"/>
          </w:tcPr>
          <w:p>
            <w:r>
              <w:rPr>
                <w:rFonts w:ascii="Aptos" w:hAnsi="Aptos"/>
                <w:sz w:val="17"/>
                <w:b/>
                <w:color w:val="1F4E79"/>
              </w:rPr>
              <w:t xml:space="preserve">Seller representation / disclosure</w:t>
            </w:r>
          </w:p>
        </w:tc>
        <w:tc>
          <w:tcPr>
            <w:tcW w:w="7000" w:type="dxa"/>
          </w:tcPr>
          <w:p>
            <w:r>
              <w:rPr>
                <w:rFonts w:ascii="Aptos" w:hAnsi="Aptos"/>
                <w:sz w:val="17"/>
              </w:rPr>
              <w:t xml:space="preserve">Employee and benefit representations should identify material claims, plans, and liabilities.</w:t>
            </w:r>
          </w:p>
        </w:tc>
      </w:tr>
      <w:tr>
        <w:tc>
          <w:tcPr>
            <w:shd w:fill="D9EAF7"/>
            <w:tcW w:w="2200" w:type="dxa"/>
          </w:tcPr>
          <w:p>
            <w:r>
              <w:rPr>
                <w:rFonts w:ascii="Aptos" w:hAnsi="Aptos"/>
                <w:sz w:val="17"/>
                <w:b/>
                <w:color w:val="1F4E79"/>
              </w:rPr>
              <w:t xml:space="preserve">Diligence discrepancy</w:t>
            </w:r>
          </w:p>
        </w:tc>
        <w:tc>
          <w:tcPr>
            <w:tcW w:w="7000" w:type="dxa"/>
          </w:tcPr>
          <w:p>
            <w:r>
              <w:rPr>
                <w:rFonts w:ascii="Aptos" w:hAnsi="Aptos"/>
                <w:sz w:val="17"/>
              </w:rPr>
              <w:t xml:space="preserve">Diligence flags employment/benefit follow-up, including the need to reconcile the pension liability and confirm completeness of employee-related disclosures.</w:t>
            </w:r>
          </w:p>
        </w:tc>
      </w:tr>
      <w:tr>
        <w:tc>
          <w:tcPr>
            <w:shd w:fill="D9EAF7"/>
            <w:tcW w:w="2200" w:type="dxa"/>
          </w:tcPr>
          <w:p>
            <w:r>
              <w:rPr>
                <w:rFonts w:ascii="Aptos" w:hAnsi="Aptos"/>
                <w:sz w:val="17"/>
                <w:b/>
                <w:color w:val="1F4E79"/>
              </w:rPr>
              <w:t xml:space="preserve">Material impact</w:t>
            </w:r>
          </w:p>
        </w:tc>
        <w:tc>
          <w:tcPr>
            <w:tcW w:w="7000" w:type="dxa"/>
          </w:tcPr>
          <w:p>
            <w:r>
              <w:rPr>
                <w:rFonts w:ascii="Aptos" w:hAnsi="Aptos"/>
                <w:sz w:val="17"/>
              </w:rPr>
              <w:t xml:space="preserve">Possible wage, benefit, plan, or employee-claim exposure; uncertainty is heightened by the pension discrepancy.</w:t>
            </w:r>
          </w:p>
        </w:tc>
      </w:tr>
      <w:tr>
        <w:tc>
          <w:tcPr>
            <w:shd w:fill="D9EAF7"/>
            <w:tcW w:w="2200" w:type="dxa"/>
          </w:tcPr>
          <w:p>
            <w:r>
              <w:rPr>
                <w:rFonts w:ascii="Aptos" w:hAnsi="Aptos"/>
                <w:sz w:val="17"/>
                <w:b/>
                <w:color w:val="1F4E79"/>
              </w:rPr>
              <w:t xml:space="preserve">Recommended action</w:t>
            </w:r>
          </w:p>
        </w:tc>
        <w:tc>
          <w:tcPr>
            <w:tcW w:w="7000" w:type="dxa"/>
          </w:tcPr>
          <w:p>
            <w:r>
              <w:rPr>
                <w:rFonts w:ascii="Aptos" w:hAnsi="Aptos"/>
                <w:sz w:val="17"/>
              </w:rPr>
              <w:t xml:space="preserve">Obtain a complete employee census, plan documents, actuarial reports, claims list, payroll/tax compliance confirmation, and schedule certification. Tie liabilities to indemnities and closing adjustments.</w:t>
            </w:r>
          </w:p>
        </w:tc>
      </w:tr>
    </w:tbl>
    <w:p>
      <w:pPr>
        <w:spacing w:before="180" w:after="100"/>
        <w:pStyle w:val="Heading1"/>
      </w:pPr>
      <w:r>
        <w:rPr>
          <w:rFonts w:ascii="Aptos" w:hAnsi="Aptos"/>
          <w:sz w:val="30"/>
          <w:b/>
          <w:color w:val="1F4E79"/>
        </w:rPr>
        <w:t xml:space="preserve">Sources Reviewed</w:t>
      </w:r>
    </w:p>
    <w:p>
      <w:pPr>
        <w:pStyle w:val="ListBullet"/>
        <w:spacing w:after="70"/>
      </w:pPr>
      <w:r>
        <w:rPr>
          <w:rFonts w:ascii="Aptos" w:hAnsi="Aptos"/>
          <w:sz w:val="19"/>
        </w:rPr>
        <w:t xml:space="preserve">draft-spa-reps-warranties.docx.txt</w:t>
      </w:r>
    </w:p>
    <w:p>
      <w:pPr>
        <w:pStyle w:val="ListBullet"/>
        <w:spacing w:after="70"/>
      </w:pPr>
      <w:r>
        <w:rPr>
          <w:rFonts w:ascii="Aptos" w:hAnsi="Aptos"/>
          <w:sz w:val="19"/>
        </w:rPr>
        <w:t xml:space="preserve">disclosure-schedules-seller-draft.docx.txt</w:t>
      </w:r>
    </w:p>
    <w:p>
      <w:pPr>
        <w:pStyle w:val="ListBullet"/>
        <w:spacing w:after="70"/>
      </w:pPr>
      <w:r>
        <w:rPr>
          <w:rFonts w:ascii="Aptos" w:hAnsi="Aptos"/>
          <w:sz w:val="19"/>
        </w:rPr>
        <w:t xml:space="preserve">diligence-report-summary.docx.txt</w:t>
      </w:r>
    </w:p>
    <w:p>
      <w:pPr>
        <w:pStyle w:val="ListBullet"/>
        <w:spacing w:after="70"/>
      </w:pPr>
      <w:r>
        <w:rPr>
          <w:rFonts w:ascii="Aptos" w:hAnsi="Aptos"/>
          <w:sz w:val="19"/>
        </w:rPr>
        <w:t xml:space="preserve">ridgeline-diligence-email.eml.txt</w:t>
      </w:r>
    </w:p>
    <w:p>
      <w:pPr>
        <w:pStyle w:val="ListBullet"/>
        <w:spacing w:after="70"/>
      </w:pPr>
      <w:r>
        <w:rPr>
          <w:rFonts w:ascii="Aptos" w:hAnsi="Aptos"/>
          <w:sz w:val="19"/>
        </w:rPr>
        <w:t xml:space="preserve">ebitda-bridge-workpaper.xlsx.txt</w:t>
      </w:r>
    </w:p>
    <w:p>
      <w:pPr>
        <w:pStyle w:val="ListBullet"/>
        <w:spacing w:after="70"/>
      </w:pPr>
      <w:r>
        <w:rPr>
          <w:rFonts w:ascii="Aptos" w:hAnsi="Aptos"/>
          <w:sz w:val="19"/>
        </w:rPr>
        <w:t xml:space="preserve">key-contract-summary.xlsx.txt</w:t>
      </w:r>
    </w:p>
    <w:p>
      <w:pPr>
        <w:pStyle w:val="ListBullet"/>
        <w:spacing w:after="70"/>
      </w:pPr>
      <w:r>
        <w:rPr>
          <w:rFonts w:ascii="Aptos" w:hAnsi="Aptos"/>
          <w:sz w:val="19"/>
        </w:rPr>
        <w:t xml:space="preserve">ip-diligence-memo.docx.txt</w:t>
      </w:r>
    </w:p>
    <w:p>
      <w:pPr>
        <w:spacing w:before="180" w:after="80"/>
      </w:pPr>
      <w:r>
        <w:rPr>
          <w:rFonts w:ascii="Aptos" w:hAnsi="Aptos"/>
          <w:sz w:val="18"/>
          <w:color w:val="555555"/>
        </w:rPr>
        <w:t xml:space="preserve">The source materials are text exports. The SPA states that significant portions, including Articles I, II, VI–XII and exhibits, are omitted from the excerpt. Section references should therefore be confirmed against the complete current draft or executed agreement. Monetary effects are preliminary and are not final purchase-price adjustments, tax estimates, reserves, or insurance determinations.</w:t>
      </w:r>
    </w:p>
    <w:sectPr>
      <w:pgSz w:w="12240" w:h="15840"/>
      <w:pgMar w:top="720" w:right="720" w:bottom="720" w:left="720"/>
      <w:headerReference xmlns:r="http://schemas.openxmlformats.org/officeDocument/2006/relationships" w:type="default" r:id="rId2"/>
      <w:footerReference xmlns:r="http://schemas.openxmlformats.org/officeDocument/2006/relationships" w:type="default" r:id="rId3"/>
    </w:sectPr>
  </w:body>
</w:document>
</file>

<file path=word/footer.xml><?xml version="1.0" encoding="utf-8"?>
<w:ftr xmlns:w="http://schemas.openxmlformats.org/wordprocessingml/2006/main">
  <w:p>
    <w:pPr>
      <w:jc w:val="center"/>
    </w:pPr>
    <w:r>
      <w:rPr>
        <w:sz w:val="16"/>
        <w:color w:val="777777"/>
      </w:rPr>
      <w:t>Privileged and confidential — prepared for transaction diligence</w:t>
    </w:r>
  </w:p>
</w:ftr>
</file>

<file path=word/header.xml><?xml version="1.0" encoding="utf-8"?>
<w:hdr xmlns:w="http://schemas.openxmlformats.org/wordprocessingml/2006/main">
  <w:p>
    <w:r>
      <w:rPr>
        <w:sz w:val="16"/>
        <w:color w:val="777777"/>
      </w:rPr>
      <w:t>CONFIDENTIAL — ATTORNEY WORK PRODUCT | PrecisionFlow / Cascadia</w:t>
    </w:r>
  </w:p>
</w:hdr>
</file>

<file path=word/styles.xml><?xml version="1.0" encoding="utf-8"?>
<w:styles xmlns:w="http://schemas.openxmlformats.org/wordprocessingml/2006/main">
  <w:style w:type="paragraph" w:default="1" w:styleId="Normal">
    <w:name w:val="Normal"/>
    <w:rPr>
      <w:rFonts w:ascii="Aptos" w:hAnsi="Aptos"/>
      <w:sz w:val="20"/>
    </w:rPr>
  </w:style>
  <w:style w:type="paragraph" w:styleId="Heading1">
    <w:name w:val="heading 1"/>
    <w:basedOn w:val="Normal"/>
    <w:rPr>
      <w:b/>
      <w:color w:val="1F4E79"/>
      <w:sz w:val="30"/>
    </w:rPr>
  </w:style>
  <w:style w:type="paragraph" w:styleId="Heading2">
    <w:name w:val="heading 2"/>
    <w:basedOn w:val="Normal"/>
    <w:rPr>
      <w:b/>
      <w:color w:val="1F4E79"/>
      <w:sz w:val="24"/>
    </w:rPr>
  </w:style>
  <w:style w:type="paragraph" w:styleId="ListBullet">
    <w:name w:val="List Bullet"/>
    <w:basedOn w:val="Normal"/>
    <w:pPr>
      <w:numPr>
        <w:ilvl w:val="0"/>
        <w:numId w:val="1"/>
      </w:numPr>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xml"/>
<Relationship Id="rId3" Type="http://schemas.openxmlformats.org/officeDocument/2006/relationships/footer" Target="footer.xml"/>
</Relationships>
</file>