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after="100"/>
      </w:pPr>
      <w:r>
        <w:rPr>
          <w:rFonts w:ascii="Arial" w:hAnsi="Arial"/>
          <w:sz w:val="40"/>
          <w:b/>
          <w:color w:val="1F4E79"/>
        </w:rPr>
        <w:t xml:space="preserve">CHANGE-OF-CONTROL EXTRACTION REPORT</w:t>
      </w:r>
    </w:p>
    <w:p>
      <w:pPr>
        <w:jc w:val="center"/>
        <w:spacing w:after="100"/>
      </w:pPr>
      <w:r>
        <w:rPr>
          <w:rFonts w:ascii="Arial" w:hAnsi="Arial"/>
          <w:sz w:val="24"/>
          <w:i/>
        </w:rPr>
        <w:t xml:space="preserve">Acquisition Target Contract Review</w:t>
      </w:r>
    </w:p>
    <w:p>
      <w:pPr>
        <w:jc w:val="center"/>
        <w:spacing w:after="100"/>
      </w:pPr>
      <w:r>
        <w:rPr>
          <w:rFonts w:ascii="Arial" w:hAnsi="Arial"/>
          <w:sz w:val="16"/>
        </w:rPr>
        <w:t xml:space="preserve">Prepared from eight supplied contract text files | Confidential – Due Diligence Work Product</w:t>
      </w:r>
    </w:p>
    <w:p>
      <w:pPr>
        <w:spacing w:after="100"/>
      </w:pPr>
      <w:r>
        <w:rPr>
          <w:rFonts w:ascii="Arial" w:hAnsi="Arial"/>
          <w:sz w:val="20"/>
        </w:rPr>
        <w:t xml:space="preserve"/>
      </w:r>
    </w:p>
    <w:p>
      <w:pPr>
        <w:pStyle w:val="Heading1"/>
        <w:spacing w:after="100"/>
      </w:pPr>
      <w:r>
        <w:rPr>
          <w:rFonts w:ascii="Arial" w:hAnsi="Arial"/>
          <w:sz w:val="30"/>
          <w:b/>
          <w:color w:val="1F4E79"/>
        </w:rPr>
        <w:t xml:space="preserve">1. Scope and Methodology</w:t>
      </w:r>
    </w:p>
    <w:p>
      <w:pPr>
        <w:spacing w:after="100"/>
      </w:pPr>
      <w:r>
        <w:rPr>
          <w:rFonts w:ascii="Arial" w:hAnsi="Arial"/>
          <w:sz w:val="19"/>
        </w:rPr>
        <w:t xml:space="preserve">This report extracts express change-of-control provisions and related provisions that may create transaction consequences, including assignment restrictions, successor limitations, consent and notice requirements, termination rights, acceleration, insurance run-off, and renewal consequences. It is based solely on the supplied contract text files and is intended as an issue-spotting and diligence aid, not a legal opinion on enforceability or transaction structure.</w:t>
      </w:r>
    </w:p>
    <w:p>
      <w:pPr>
        <w:pStyle w:val="Heading1"/>
        <w:spacing w:after="100"/>
      </w:pPr>
      <w:r>
        <w:rPr>
          <w:rFonts w:ascii="Arial" w:hAnsi="Arial"/>
          <w:sz w:val="30"/>
          <w:b/>
          <w:color w:val="1F4E79"/>
        </w:rPr>
        <w:t xml:space="preserve">2. Executive Summary</w:t>
      </w:r>
    </w:p>
    <w:p>
      <w:pPr>
        <w:spacing w:after="100"/>
      </w:pPr>
      <w:r>
        <w:rPr>
          <w:rFonts w:ascii="Arial" w:hAnsi="Arial"/>
          <w:sz w:val="19"/>
        </w:rPr>
        <w:t xml:space="preserve">The highest transaction risks are concentrated in the Hendricks license, Crescent Ridge lease, PacWest supply agreement, and product-liability policy. Each contains broad change-of-control or successor restrictions that can result in termination, loss of operating rights, significant financial exposure, or an immediate insurance gap. The Hendricks license permits immediate termination in Licensor’s sole and absolute discretion; the Crescent Ridge lease requires prior consent and provides default, termination, recapture, rent-acceleration, and a stated $3.24 million early termination fee; PacWest may terminate on 90 days’ notice in its sole discretion; and the product-liability policy automatically converts to run-off at closing.</w:t>
      </w:r>
    </w:p>
    <w:p>
      <w:pPr>
        <w:spacing w:after="100"/>
      </w:pPr>
      <w:r>
        <w:rPr>
          <w:rFonts w:ascii="Arial" w:hAnsi="Arial"/>
          <w:sz w:val="19"/>
        </w:rPr>
        <w:t xml:space="preserve">The principal transaction-wide theme is that silence generally does not constitute consent. The lease requires express written consent and deems silence a denial; PacWest’s failure to respond within 60 days preserves its termination rights; the Hendricks agreement requires signed written consent or waiver; and the insurance policy requires separate underwriting for successor coverage. Several agreements also contain no Affiliate or internal-reorganization exception.</w:t>
      </w:r>
    </w:p>
    <w:p>
      <w:pPr>
        <w:spacing w:after="100"/>
      </w:pPr>
      <w:r>
        <w:rPr>
          <w:rFonts w:ascii="Arial" w:hAnsi="Arial"/>
          <w:sz w:val="19"/>
        </w:rPr>
        <w:t xml:space="preserve">The Northland MSA has no express operative change-of-control provision. Its assignment clause nevertheless requires prior consent for assignments, transfers, or delegations, including by operation of law, subject to an Affiliate exception with 30-day notice and continuing joint and several liability. The supplied analyses for the Apex-Kenji JV agreement, Summit credit agreement, and Hesse employment agreement contain no substantive contract findings; therefore, no operative change-of-control provision can be confirmed or ruled out for those documents based on the provided materials.</w:t>
      </w:r>
    </w:p>
    <w:p>
      <w:pPr>
        <w:pStyle w:val="Heading1"/>
        <w:spacing w:after="100"/>
      </w:pPr>
      <w:r>
        <w:rPr>
          <w:rFonts w:ascii="Arial" w:hAnsi="Arial"/>
          <w:sz w:val="30"/>
          <w:b/>
          <w:color w:val="1F4E79"/>
        </w:rPr>
        <w:t xml:space="preserve">3. Portfolio Risk Snapshot</w:t>
      </w:r>
    </w:p>
    <w:tbl>
      <w:tblPr>
        <w:tblBorders>
          <w:top w:val="single"/>
          <w:left w:val="single"/>
          <w:bottom w:val="single"/>
          <w:right w:val="single"/>
          <w:insideH w:val="single"/>
          <w:insideV w:val="single"/>
        </w:tblBorders>
      </w:tblPr>
      <w:tblGrid>
        <w:gridCol w:w="2200"/>
        <w:gridCol w:w="2200"/>
        <w:gridCol w:w="2200"/>
        <w:gridCol w:w="2200"/>
      </w:tblGrid>
      <w:tr>
        <w:tc>
          <w:tcPr>
            <w:shd w:fill="1F4E79"/>
          </w:tcPr>
          <w:p>
            <w:r>
              <w:rPr>
                <w:rFonts w:ascii="Arial" w:hAnsi="Arial"/>
                <w:sz w:val="16"/>
                <w:color w:val="FFFFFF"/>
                <w:b/>
              </w:rPr>
              <w:t>apex-kenji-jv-agreement.docx</w:t>
            </w:r>
          </w:p>
        </w:tc>
        <w:tc>
          <w:tcPr>
            <w:shd w:fill="1F4E79"/>
          </w:tcPr>
          <w:p>
            <w:r>
              <w:rPr>
                <w:rFonts w:ascii="Arial" w:hAnsi="Arial"/>
                <w:sz w:val="16"/>
                <w:color w:val="FFFFFF"/>
                <w:b/>
              </w:rPr>
              <w:t>Undetermined</w:t>
            </w:r>
          </w:p>
        </w:tc>
        <w:tc>
          <w:tcPr>
            <w:shd w:fill="1F4E79"/>
          </w:tcPr>
          <w:p>
            <w:r>
              <w:rPr>
                <w:rFonts w:ascii="Arial" w:hAnsi="Arial"/>
                <w:sz w:val="16"/>
                <w:color w:val="FFFFFF"/>
                <w:b/>
              </w:rPr>
              <w:t>No substantive analysis supplied; no operative change-of-control provision identified in the supplied materials</w:t>
            </w:r>
          </w:p>
        </w:tc>
        <w:tc>
          <w:tcPr>
            <w:shd w:fill="1F4E79"/>
          </w:tcPr>
          <w:p>
            <w:r>
              <w:rPr>
                <w:rFonts w:ascii="Arial" w:hAnsi="Arial"/>
                <w:sz w:val="16"/>
                <w:color w:val="FFFFFF"/>
                <w:b/>
              </w:rPr>
              <w:t>Contractual consent, termination, transfer, or financing consequences cannot be assessed</w:t>
            </w:r>
          </w:p>
        </w:tc>
      </w:tr>
      <w:tr>
        <w:tc>
          <w:tcPr>
            <w:shd w:fill="FFFFFF"/>
          </w:tcPr>
          <w:p>
            <w:r>
              <w:rPr>
                <w:rFonts w:ascii="Arial" w:hAnsi="Arial"/>
                <w:sz w:val="16"/>
                <w:color w:val="000000"/>
              </w:rPr>
              <w:t>credit-agreement-summit.docx</w:t>
            </w:r>
          </w:p>
        </w:tc>
        <w:tc>
          <w:tcPr>
            <w:shd w:fill="FFFFFF"/>
          </w:tcPr>
          <w:p>
            <w:r>
              <w:rPr>
                <w:rFonts w:ascii="Arial" w:hAnsi="Arial"/>
                <w:sz w:val="16"/>
                <w:color w:val="000000"/>
              </w:rPr>
              <w:t>Undetermined</w:t>
            </w:r>
          </w:p>
        </w:tc>
        <w:tc>
          <w:tcPr>
            <w:shd w:fill="FFFFFF"/>
          </w:tcPr>
          <w:p>
            <w:r>
              <w:rPr>
                <w:rFonts w:ascii="Arial" w:hAnsi="Arial"/>
                <w:sz w:val="16"/>
                <w:color w:val="000000"/>
              </w:rPr>
              <w:t>No substantive analysis supplied; no operative change-of-control provision identified in the supplied materials</w:t>
            </w:r>
          </w:p>
        </w:tc>
        <w:tc>
          <w:tcPr>
            <w:shd w:fill="FFFFFF"/>
          </w:tcPr>
          <w:p>
            <w:r>
              <w:rPr>
                <w:rFonts w:ascii="Arial" w:hAnsi="Arial"/>
                <w:sz w:val="16"/>
                <w:color w:val="000000"/>
              </w:rPr>
              <w:t>Debt acceleration, default, mandatory prepayment, or lender-consent consequences cannot be assessed</w:t>
            </w:r>
          </w:p>
        </w:tc>
      </w:tr>
      <w:tr>
        <w:tc>
          <w:tcPr>
            <w:shd w:fill="FFFFFF"/>
          </w:tcPr>
          <w:p>
            <w:r>
              <w:rPr>
                <w:rFonts w:ascii="Arial" w:hAnsi="Arial"/>
                <w:sz w:val="16"/>
                <w:color w:val="000000"/>
              </w:rPr>
              <w:t>hendricks-license-agreement.docx</w:t>
            </w:r>
          </w:p>
        </w:tc>
        <w:tc>
          <w:tcPr>
            <w:shd w:fill="FFFFFF"/>
          </w:tcPr>
          <w:p>
            <w:r>
              <w:rPr>
                <w:rFonts w:ascii="Arial" w:hAnsi="Arial"/>
                <w:sz w:val="16"/>
                <w:color w:val="000000"/>
              </w:rPr>
              <w:t>High</w:t>
            </w:r>
          </w:p>
        </w:tc>
        <w:tc>
          <w:tcPr>
            <w:shd w:fill="FFFFFF"/>
          </w:tcPr>
          <w:p>
            <w:r>
              <w:rPr>
                <w:rFonts w:ascii="Arial" w:hAnsi="Arial"/>
                <w:sz w:val="16"/>
                <w:color w:val="000000"/>
              </w:rPr>
              <w:t>Broad Change of Control under Section 1.3; deemed assignment under Section 10.1; Licensor’s discretionary termination under Section 9.1</w:t>
            </w:r>
          </w:p>
        </w:tc>
        <w:tc>
          <w:tcPr>
            <w:shd w:fill="FFFFFF"/>
          </w:tcPr>
          <w:p>
            <w:r>
              <w:rPr>
                <w:rFonts w:ascii="Arial" w:hAnsi="Arial"/>
                <w:sz w:val="16"/>
                <w:color w:val="000000"/>
              </w:rPr>
              <w:t>Immediate loss of license, cessation of use and manufacturing, return/destruction obligations, accelerated amounts, and only a 90-day sell-off</w:t>
            </w:r>
          </w:p>
        </w:tc>
      </w:tr>
      <w:tr>
        <w:tc>
          <w:tcPr>
            <w:shd w:fill="FFFFFF"/>
          </w:tcPr>
          <w:p>
            <w:r>
              <w:rPr>
                <w:rFonts w:ascii="Arial" w:hAnsi="Arial"/>
                <w:sz w:val="16"/>
                <w:color w:val="000000"/>
              </w:rPr>
              <w:t>hesse-employment-agreement.docx</w:t>
            </w:r>
          </w:p>
        </w:tc>
        <w:tc>
          <w:tcPr>
            <w:shd w:fill="FFFFFF"/>
          </w:tcPr>
          <w:p>
            <w:r>
              <w:rPr>
                <w:rFonts w:ascii="Arial" w:hAnsi="Arial"/>
                <w:sz w:val="16"/>
                <w:color w:val="000000"/>
              </w:rPr>
              <w:t>Undetermined</w:t>
            </w:r>
          </w:p>
        </w:tc>
        <w:tc>
          <w:tcPr>
            <w:shd w:fill="FFFFFF"/>
          </w:tcPr>
          <w:p>
            <w:r>
              <w:rPr>
                <w:rFonts w:ascii="Arial" w:hAnsi="Arial"/>
                <w:sz w:val="16"/>
                <w:color w:val="000000"/>
              </w:rPr>
              <w:t>No substantive analysis supplied; no operative change-of-control provision identified in the supplied materials</w:t>
            </w:r>
          </w:p>
        </w:tc>
        <w:tc>
          <w:tcPr>
            <w:shd w:fill="FFFFFF"/>
          </w:tcPr>
          <w:p>
            <w:r>
              <w:rPr>
                <w:rFonts w:ascii="Arial" w:hAnsi="Arial"/>
                <w:sz w:val="16"/>
                <w:color w:val="000000"/>
              </w:rPr>
              <w:t>Employment termination, severance, incentive, or retention consequences cannot be assessed</w:t>
            </w:r>
          </w:p>
        </w:tc>
      </w:tr>
      <w:tr>
        <w:tc>
          <w:tcPr>
            <w:shd w:fill="FFFFFF"/>
          </w:tcPr>
          <w:p>
            <w:r>
              <w:rPr>
                <w:rFonts w:ascii="Arial" w:hAnsi="Arial"/>
                <w:sz w:val="16"/>
                <w:color w:val="000000"/>
              </w:rPr>
              <w:t>hq-lease-crescent-ridge.docx</w:t>
            </w:r>
          </w:p>
        </w:tc>
        <w:tc>
          <w:tcPr>
            <w:shd w:fill="FFFFFF"/>
          </w:tcPr>
          <w:p>
            <w:r>
              <w:rPr>
                <w:rFonts w:ascii="Arial" w:hAnsi="Arial"/>
                <w:sz w:val="16"/>
                <w:color w:val="000000"/>
              </w:rPr>
              <w:t>High</w:t>
            </w:r>
          </w:p>
        </w:tc>
        <w:tc>
          <w:tcPr>
            <w:shd w:fill="FFFFFF"/>
          </w:tcPr>
          <w:p>
            <w:r>
              <w:rPr>
                <w:rFonts w:ascii="Arial" w:hAnsi="Arial"/>
                <w:sz w:val="16"/>
                <w:color w:val="000000"/>
              </w:rPr>
              <w:t>Direct or indirect control change, mergers, upstream transfers, asset sales, and Affiliate transactions are Deemed Assignments under Section 22.2</w:t>
            </w:r>
          </w:p>
        </w:tc>
        <w:tc>
          <w:tcPr>
            <w:shd w:fill="FFFFFF"/>
          </w:tcPr>
          <w:p>
            <w:r>
              <w:rPr>
                <w:rFonts w:ascii="Arial" w:hAnsi="Arial"/>
                <w:sz w:val="16"/>
                <w:color w:val="000000"/>
              </w:rPr>
              <w:t>Void transaction, Event of Default, lease termination, repossession, rent acceleration, recapture, and $3.24 million early termination fee</w:t>
            </w:r>
          </w:p>
        </w:tc>
      </w:tr>
      <w:tr>
        <w:tc>
          <w:tcPr>
            <w:shd w:fill="FFFFFF"/>
          </w:tcPr>
          <w:p>
            <w:r>
              <w:rPr>
                <w:rFonts w:ascii="Arial" w:hAnsi="Arial"/>
                <w:sz w:val="16"/>
                <w:color w:val="000000"/>
              </w:rPr>
              <w:t>northland-refining-msa.docx</w:t>
            </w:r>
          </w:p>
        </w:tc>
        <w:tc>
          <w:tcPr>
            <w:shd w:fill="FFFFFF"/>
          </w:tcPr>
          <w:p>
            <w:r>
              <w:rPr>
                <w:rFonts w:ascii="Arial" w:hAnsi="Arial"/>
                <w:sz w:val="16"/>
                <w:color w:val="000000"/>
              </w:rPr>
              <w:t>High for assignments; Low to Medium for ordinary ownership changes</w:t>
            </w:r>
          </w:p>
        </w:tc>
        <w:tc>
          <w:tcPr>
            <w:shd w:fill="FFFFFF"/>
          </w:tcPr>
          <w:p>
            <w:r>
              <w:rPr>
                <w:rFonts w:ascii="Arial" w:hAnsi="Arial"/>
                <w:sz w:val="16"/>
                <w:color w:val="000000"/>
              </w:rPr>
              <w:t>Section 14.2 requires consent for assignment, transfer, or delegation, including by operation of law; no express change-of-control clause</w:t>
            </w:r>
          </w:p>
        </w:tc>
        <w:tc>
          <w:tcPr>
            <w:shd w:fill="FFFFFF"/>
          </w:tcPr>
          <w:p>
            <w:r>
              <w:rPr>
                <w:rFonts w:ascii="Arial" w:hAnsi="Arial"/>
                <w:sz w:val="16"/>
                <w:color w:val="000000"/>
              </w:rPr>
              <w:t>Unauthorized transfer is void; consent may be withheld in sole and absolute discretion; distressed events may permit termination</w:t>
            </w:r>
          </w:p>
        </w:tc>
      </w:tr>
      <w:tr>
        <w:tc>
          <w:tcPr>
            <w:shd w:fill="FFFFFF"/>
          </w:tcPr>
          <w:p>
            <w:r>
              <w:rPr>
                <w:rFonts w:ascii="Arial" w:hAnsi="Arial"/>
                <w:sz w:val="16"/>
                <w:color w:val="000000"/>
              </w:rPr>
              <w:t>pacwest-supply-agreement.docx</w:t>
            </w:r>
          </w:p>
        </w:tc>
        <w:tc>
          <w:tcPr>
            <w:shd w:fill="FFFFFF"/>
          </w:tcPr>
          <w:p>
            <w:r>
              <w:rPr>
                <w:rFonts w:ascii="Arial" w:hAnsi="Arial"/>
                <w:sz w:val="16"/>
                <w:color w:val="000000"/>
              </w:rPr>
              <w:t>High</w:t>
            </w:r>
          </w:p>
        </w:tc>
        <w:tc>
          <w:tcPr>
            <w:shd w:fill="FFFFFF"/>
          </w:tcPr>
          <w:p>
            <w:r>
              <w:rPr>
                <w:rFonts w:ascii="Arial" w:hAnsi="Arial"/>
                <w:sz w:val="16"/>
                <w:color w:val="000000"/>
              </w:rPr>
              <w:t>Change of Control under Section 1.1(c) activates Section 10.5; PacWest may consent or terminate in its sole discretion</w:t>
            </w:r>
          </w:p>
        </w:tc>
        <w:tc>
          <w:tcPr>
            <w:shd w:fill="FFFFFF"/>
          </w:tcPr>
          <w:p>
            <w:r>
              <w:rPr>
                <w:rFonts w:ascii="Arial" w:hAnsi="Arial"/>
                <w:sz w:val="16"/>
                <w:color w:val="000000"/>
              </w:rPr>
              <w:t>Termination on 90 days’ notice; continued performance during notice period; no deemed consent</w:t>
            </w:r>
          </w:p>
        </w:tc>
      </w:tr>
      <w:tr>
        <w:tc>
          <w:tcPr>
            <w:shd w:fill="FFFFFF"/>
          </w:tcPr>
          <w:p>
            <w:r>
              <w:rPr>
                <w:rFonts w:ascii="Arial" w:hAnsi="Arial"/>
                <w:sz w:val="16"/>
                <w:color w:val="000000"/>
              </w:rPr>
              <w:t>product-liability-policy.docx</w:t>
            </w:r>
          </w:p>
        </w:tc>
        <w:tc>
          <w:tcPr>
            <w:shd w:fill="FFFFFF"/>
          </w:tcPr>
          <w:p>
            <w:r>
              <w:rPr>
                <w:rFonts w:ascii="Arial" w:hAnsi="Arial"/>
                <w:sz w:val="16"/>
                <w:color w:val="000000"/>
              </w:rPr>
              <w:t>High</w:t>
            </w:r>
          </w:p>
        </w:tc>
        <w:tc>
          <w:tcPr>
            <w:shd w:fill="FFFFFF"/>
          </w:tcPr>
          <w:p>
            <w:r>
              <w:rPr>
                <w:rFonts w:ascii="Arial" w:hAnsi="Arial"/>
                <w:sz w:val="16"/>
                <w:color w:val="000000"/>
              </w:rPr>
              <w:t>Change of Control under Section II automatically converts policy to Run-Off under Section IV.F; assignment requires consent under Section IV.E</w:t>
            </w:r>
          </w:p>
        </w:tc>
        <w:tc>
          <w:tcPr>
            <w:shd w:fill="FFFFFF"/>
          </w:tcPr>
          <w:p>
            <w:r>
              <w:rPr>
                <w:rFonts w:ascii="Arial" w:hAnsi="Arial"/>
                <w:sz w:val="16"/>
                <w:color w:val="000000"/>
              </w:rPr>
              <w:t>No post-closing product coverage, no automatic successor coverage, possible 15-day notice prejudice defense, and need for replacement or tail coverage</w:t>
            </w:r>
          </w:p>
        </w:tc>
      </w:tr>
    </w:tbl>
    <w:p>
      <w:pPr>
        <w:pStyle w:val="Heading1"/>
        <w:spacing w:after="100"/>
      </w:pPr>
      <w:r>
        <w:rPr>
          <w:rFonts w:ascii="Arial" w:hAnsi="Arial"/>
          <w:sz w:val="30"/>
          <w:b/>
          <w:color w:val="1F4E79"/>
        </w:rPr>
        <w:t xml:space="preserve">4. Detailed Contract-by-Contract Findings</w:t>
      </w:r>
    </w:p>
    <w:p>
      <w:pPr>
        <w:pStyle w:val="Heading2"/>
        <w:spacing w:after="100"/>
      </w:pPr>
      <w:r>
        <w:rPr>
          <w:rFonts w:ascii="Arial" w:hAnsi="Arial"/>
          <w:sz w:val="25"/>
          <w:b/>
          <w:color w:val="1F4E79"/>
        </w:rPr>
        <w:t xml:space="preserve">apex-kenji-jv-agreement.docx</w:t>
      </w:r>
    </w:p>
    <w:p>
      <w:pPr>
        <w:pStyle w:val="ListBullet"/>
        <w:spacing w:after="100"/>
      </w:pPr>
      <w:r>
        <w:rPr>
          <w:rFonts w:ascii="Arial" w:hAnsi="Arial"/>
          <w:sz w:val="19"/>
        </w:rPr>
        <w:t xml:space="preserve">Contract/parties (if stated): No contract or party information was provided in the supplied analysis.</w:t>
      </w:r>
    </w:p>
    <w:p>
      <w:pPr>
        <w:pStyle w:val="ListBullet"/>
        <w:spacing w:after="100"/>
      </w:pPr>
      <w:r>
        <w:rPr>
          <w:rFonts w:ascii="Arial" w:hAnsi="Arial"/>
          <w:sz w:val="19"/>
        </w:rPr>
        <w:t xml:space="preserve">Express or functional change-of-control language: No operative provision was identified in the supplied analysis. The absence of supplied findings is not confirmation that the contract contains no such provision.</w:t>
      </w:r>
    </w:p>
    <w:p>
      <w:pPr>
        <w:pStyle w:val="ListBullet"/>
        <w:spacing w:after="100"/>
      </w:pPr>
      <w:r>
        <w:rPr>
          <w:rFonts w:ascii="Arial" w:hAnsi="Arial"/>
          <w:sz w:val="19"/>
        </w:rPr>
        <w:t xml:space="preserve">Trigger: Cannot be determined.</w:t>
      </w:r>
    </w:p>
    <w:p>
      <w:pPr>
        <w:pStyle w:val="ListBullet"/>
        <w:spacing w:after="100"/>
      </w:pPr>
      <w:r>
        <w:rPr>
          <w:rFonts w:ascii="Arial" w:hAnsi="Arial"/>
          <w:sz w:val="19"/>
        </w:rPr>
        <w:t xml:space="preserve">Required consent, notice, approval, or other action: Cannot be determined.</w:t>
      </w:r>
    </w:p>
    <w:p>
      <w:pPr>
        <w:pStyle w:val="ListBullet"/>
        <w:spacing w:after="100"/>
      </w:pPr>
      <w:r>
        <w:rPr>
          <w:rFonts w:ascii="Arial" w:hAnsi="Arial"/>
          <w:sz w:val="19"/>
        </w:rPr>
        <w:t xml:space="preserve">Consequence: Cannot be determined, including whether the agreement contains termination, consent, acceleration, dilution, buy-sell, or transfer consequences.</w:t>
      </w:r>
    </w:p>
    <w:p>
      <w:pPr>
        <w:pStyle w:val="ListBullet"/>
        <w:spacing w:after="100"/>
      </w:pPr>
      <w:r>
        <w:rPr>
          <w:rFonts w:ascii="Arial" w:hAnsi="Arial"/>
          <w:sz w:val="19"/>
        </w:rPr>
        <w:t xml:space="preserve">Exceptions/thresholds: Cannot be determined.</w:t>
      </w:r>
    </w:p>
    <w:p>
      <w:pPr>
        <w:pStyle w:val="ListBullet"/>
        <w:spacing w:after="100"/>
      </w:pPr>
      <w:r>
        <w:rPr>
          <w:rFonts w:ascii="Arial" w:hAnsi="Arial"/>
          <w:sz w:val="19"/>
        </w:rPr>
        <w:t xml:space="preserve">Benefited/burdened party: Cannot be determined.</w:t>
      </w:r>
    </w:p>
    <w:p>
      <w:pPr>
        <w:pStyle w:val="ListBullet"/>
        <w:spacing w:after="100"/>
      </w:pPr>
      <w:r>
        <w:rPr>
          <w:rFonts w:ascii="Arial" w:hAnsi="Arial"/>
          <w:sz w:val="19"/>
        </w:rPr>
        <w:t xml:space="preserve">Risk rationale: The document was supplied without substantive analysis, so transaction risk cannot be reliably rated.</w:t>
      </w:r>
    </w:p>
    <w:p>
      <w:pPr>
        <w:pStyle w:val="ListBullet"/>
        <w:spacing w:after="100"/>
      </w:pPr>
      <w:r>
        <w:rPr>
          <w:rFonts w:ascii="Arial" w:hAnsi="Arial"/>
          <w:sz w:val="19"/>
        </w:rPr>
        <w:t xml:space="preserve">Recommended diligence action: Obtain and review the complete agreement, amendments, schedules, definitions, transfer provisions, default provisions, and any financing or guaranty documents involving the JV.</w:t>
      </w:r>
    </w:p>
    <w:p>
      <w:pPr>
        <w:pStyle w:val="Heading2"/>
        <w:spacing w:after="100"/>
      </w:pPr>
      <w:r>
        <w:rPr>
          <w:rFonts w:ascii="Arial" w:hAnsi="Arial"/>
          <w:sz w:val="25"/>
          <w:b/>
          <w:color w:val="1F4E79"/>
        </w:rPr>
        <w:t xml:space="preserve">credit-agreement-summit.docx</w:t>
      </w:r>
    </w:p>
    <w:p>
      <w:pPr>
        <w:pStyle w:val="ListBullet"/>
        <w:spacing w:after="100"/>
      </w:pPr>
      <w:r>
        <w:rPr>
          <w:rFonts w:ascii="Arial" w:hAnsi="Arial"/>
          <w:sz w:val="19"/>
        </w:rPr>
        <w:t xml:space="preserve">Contract/parties (if stated): No contract or party information was provided in the supplied analysis.</w:t>
      </w:r>
    </w:p>
    <w:p>
      <w:pPr>
        <w:pStyle w:val="ListBullet"/>
        <w:spacing w:after="100"/>
      </w:pPr>
      <w:r>
        <w:rPr>
          <w:rFonts w:ascii="Arial" w:hAnsi="Arial"/>
          <w:sz w:val="19"/>
        </w:rPr>
        <w:t xml:space="preserve">Express or functional change-of-control language: No operative provision was identified in the supplied analysis. The absence of supplied findings is not confirmation that the credit agreement lacks a change-of-control provision.</w:t>
      </w:r>
    </w:p>
    <w:p>
      <w:pPr>
        <w:pStyle w:val="ListBullet"/>
        <w:spacing w:after="100"/>
      </w:pPr>
      <w:r>
        <w:rPr>
          <w:rFonts w:ascii="Arial" w:hAnsi="Arial"/>
          <w:sz w:val="19"/>
        </w:rPr>
        <w:t xml:space="preserve">Trigger: Cannot be determined.</w:t>
      </w:r>
    </w:p>
    <w:p>
      <w:pPr>
        <w:pStyle w:val="ListBullet"/>
        <w:spacing w:after="100"/>
      </w:pPr>
      <w:r>
        <w:rPr>
          <w:rFonts w:ascii="Arial" w:hAnsi="Arial"/>
          <w:sz w:val="19"/>
        </w:rPr>
        <w:t xml:space="preserve">Required consent, notice, approval, or other action: Cannot be determined, including whether lender consent, notice, waiver, or mandatory prepayment is required.</w:t>
      </w:r>
    </w:p>
    <w:p>
      <w:pPr>
        <w:pStyle w:val="ListBullet"/>
        <w:spacing w:after="100"/>
      </w:pPr>
      <w:r>
        <w:rPr>
          <w:rFonts w:ascii="Arial" w:hAnsi="Arial"/>
          <w:sz w:val="19"/>
        </w:rPr>
        <w:t xml:space="preserve">Consequence: Cannot be determined, including whether a change of control causes an Event of Default, acceleration, mandatory prepayment, commitment termination, or pricing change.</w:t>
      </w:r>
    </w:p>
    <w:p>
      <w:pPr>
        <w:pStyle w:val="ListBullet"/>
        <w:spacing w:after="100"/>
      </w:pPr>
      <w:r>
        <w:rPr>
          <w:rFonts w:ascii="Arial" w:hAnsi="Arial"/>
          <w:sz w:val="19"/>
        </w:rPr>
        <w:t xml:space="preserve">Exceptions/thresholds: Cannot be determined.</w:t>
      </w:r>
    </w:p>
    <w:p>
      <w:pPr>
        <w:pStyle w:val="ListBullet"/>
        <w:spacing w:after="100"/>
      </w:pPr>
      <w:r>
        <w:rPr>
          <w:rFonts w:ascii="Arial" w:hAnsi="Arial"/>
          <w:sz w:val="19"/>
        </w:rPr>
        <w:t xml:space="preserve">Benefited/burdened party: Cannot be determined; lender protections should be specifically reviewed.</w:t>
      </w:r>
    </w:p>
    <w:p>
      <w:pPr>
        <w:pStyle w:val="ListBullet"/>
        <w:spacing w:after="100"/>
      </w:pPr>
      <w:r>
        <w:rPr>
          <w:rFonts w:ascii="Arial" w:hAnsi="Arial"/>
          <w:sz w:val="19"/>
        </w:rPr>
        <w:t xml:space="preserve">Risk rationale: No substantive credit-agreement analysis was supplied, leaving potentially material debt and closing risks unresolved.</w:t>
      </w:r>
    </w:p>
    <w:p>
      <w:pPr>
        <w:pStyle w:val="ListBullet"/>
        <w:spacing w:after="100"/>
      </w:pPr>
      <w:r>
        <w:rPr>
          <w:rFonts w:ascii="Arial" w:hAnsi="Arial"/>
          <w:sz w:val="19"/>
        </w:rPr>
        <w:t xml:space="preserve">Recommended diligence action: Review the complete credit agreement, definitions of Change of Control and Permitted Holders, Events of Default, mandatory prepayment provisions, commitments, guarantees, collateral documents, hedging documents, and lender-consent mechanics.</w:t>
      </w:r>
    </w:p>
    <w:p>
      <w:pPr>
        <w:pStyle w:val="Heading2"/>
        <w:spacing w:after="100"/>
      </w:pPr>
      <w:r>
        <w:rPr>
          <w:rFonts w:ascii="Arial" w:hAnsi="Arial"/>
          <w:sz w:val="25"/>
          <w:b/>
          <w:color w:val="1F4E79"/>
        </w:rPr>
        <w:t xml:space="preserve">hendricks-license-agreement.docx</w:t>
      </w:r>
    </w:p>
    <w:p>
      <w:pPr>
        <w:pStyle w:val="ListBullet"/>
        <w:spacing w:after="100"/>
      </w:pPr>
      <w:r>
        <w:rPr>
          <w:rFonts w:ascii="Arial" w:hAnsi="Arial"/>
          <w:sz w:val="19"/>
        </w:rPr>
        <w:t xml:space="preserve">Contract/parties (if stated): Licensee is Apex; Licensor is the counterparty identified in the agreement but not named in the supplied analysis. The agreement concerns Licensed Technology and the AX-7000 Product Line.</w:t>
      </w:r>
    </w:p>
    <w:p>
      <w:pPr>
        <w:pStyle w:val="ListBullet"/>
        <w:spacing w:after="100"/>
      </w:pPr>
      <w:r>
        <w:rPr>
          <w:rFonts w:ascii="Arial" w:hAnsi="Arial"/>
          <w:sz w:val="19"/>
        </w:rPr>
        <w:t xml:space="preserve">Express or functional change-of-control language, with section/article citations and material quoted language:</w:t>
      </w:r>
    </w:p>
    <w:p>
      <w:pPr>
        <w:pStyle w:val="ListBullet"/>
        <w:spacing w:after="100"/>
      </w:pPr>
      <w:r>
        <w:rPr>
          <w:rFonts w:ascii="Arial" w:hAnsi="Arial"/>
          <w:sz w:val="19"/>
        </w:rPr>
        <w:t xml:space="preserve">Section 1.3 defines Change of Control to include “any merger, consolidation, or reorganization involving Licensee,” a disposition of “all or substantially all” assets, acquisition of “more than fifty percent (50%)” of voting securities, or any transaction changing ultimate control. It expressly covers forward, reverse, and triangular mergers.</w:t>
      </w:r>
    </w:p>
    <w:p>
      <w:pPr>
        <w:pStyle w:val="ListBullet"/>
        <w:spacing w:after="100"/>
      </w:pPr>
      <w:r>
        <w:rPr>
          <w:rFonts w:ascii="Arial" w:hAnsi="Arial"/>
          <w:sz w:val="19"/>
        </w:rPr>
        <w:t xml:space="preserve">Section 9.1 gives Licensor the right to terminate “immediately upon written notice” and in its “sole and absolute discretion,” with “no prior notice period, cure period, or opportunity” to obtain consent.</w:t>
      </w:r>
    </w:p>
    <w:p>
      <w:pPr>
        <w:pStyle w:val="ListBullet"/>
        <w:spacing w:after="100"/>
      </w:pPr>
      <w:r>
        <w:rPr>
          <w:rFonts w:ascii="Arial" w:hAnsi="Arial"/>
          <w:sz w:val="19"/>
        </w:rPr>
        <w:t xml:space="preserve">Section 10.1 provides that Licensee may not assign without Licensor’s prior written consent, which may be withheld in Licensor’s “sole and absolute discretion,” and states that a Change of Control “shall be deemed an assignment by operation of law.”</w:t>
      </w:r>
    </w:p>
    <w:p>
      <w:pPr>
        <w:pStyle w:val="ListBullet"/>
        <w:spacing w:after="100"/>
      </w:pPr>
      <w:r>
        <w:rPr>
          <w:rFonts w:ascii="Arial" w:hAnsi="Arial"/>
          <w:sz w:val="19"/>
        </w:rPr>
        <w:t xml:space="preserve">Section 2.1 describes the license as “non-exclusive, non-transferable” and “personal to Licensee.”</w:t>
      </w:r>
    </w:p>
    <w:p>
      <w:pPr>
        <w:pStyle w:val="ListBullet"/>
        <w:spacing w:after="100"/>
      </w:pPr>
      <w:r>
        <w:rPr>
          <w:rFonts w:ascii="Arial" w:hAnsi="Arial"/>
          <w:sz w:val="19"/>
        </w:rPr>
        <w:t xml:space="preserve">Trigger: Any covered merger, reorganization, substantially all-assets disposition, acquisition of more than 50% of voting securities, or other direct or indirect change in ultimate control. Insolvency or receivership involving all or substantially all assets is separately addressed in Section 9.3; an involuntary bankruptcy petition must remain undismissed for 60 days.</w:t>
      </w:r>
    </w:p>
    <w:p>
      <w:pPr>
        <w:pStyle w:val="ListBullet"/>
        <w:spacing w:after="100"/>
      </w:pPr>
      <w:r>
        <w:rPr>
          <w:rFonts w:ascii="Arial" w:hAnsi="Arial"/>
          <w:sz w:val="19"/>
        </w:rPr>
        <w:t xml:space="preserve">Required consent, notice, approval, or other action:</w:t>
      </w:r>
    </w:p>
    <w:p>
      <w:pPr>
        <w:pStyle w:val="ListBullet"/>
        <w:spacing w:after="100"/>
      </w:pPr>
      <w:r>
        <w:rPr>
          <w:rFonts w:ascii="Arial" w:hAnsi="Arial"/>
          <w:sz w:val="19"/>
        </w:rPr>
        <w:t xml:space="preserve">A Change of Control activates Licensor’s termination right under Section 9.1.</w:t>
      </w:r>
    </w:p>
    <w:p>
      <w:pPr>
        <w:pStyle w:val="ListBullet"/>
        <w:spacing w:after="100"/>
      </w:pPr>
      <w:r>
        <w:rPr>
          <w:rFonts w:ascii="Arial" w:hAnsi="Arial"/>
          <w:sz w:val="19"/>
        </w:rPr>
        <w:t xml:space="preserve">Section 10.1 separately requires Licensor’s prior written consent for an assignment or deemed assignment.</w:t>
      </w:r>
    </w:p>
    <w:p>
      <w:pPr>
        <w:pStyle w:val="ListBullet"/>
        <w:spacing w:after="100"/>
      </w:pPr>
      <w:r>
        <w:rPr>
          <w:rFonts w:ascii="Arial" w:hAnsi="Arial"/>
          <w:sz w:val="19"/>
        </w:rPr>
        <w:t xml:space="preserve">Any waiver or amendment must be in writing and signed by both parties under Sections 12.2 and 12.3.</w:t>
      </w:r>
    </w:p>
    <w:p>
      <w:pPr>
        <w:pStyle w:val="ListBullet"/>
        <w:spacing w:after="100"/>
      </w:pPr>
      <w:r>
        <w:rPr>
          <w:rFonts w:ascii="Arial" w:hAnsi="Arial"/>
          <w:sz w:val="19"/>
        </w:rPr>
        <w:t xml:space="preserve">Consequence:</w:t>
      </w:r>
    </w:p>
    <w:p>
      <w:pPr>
        <w:pStyle w:val="ListBullet"/>
        <w:spacing w:after="100"/>
      </w:pPr>
      <w:r>
        <w:rPr>
          <w:rFonts w:ascii="Arial" w:hAnsi="Arial"/>
          <w:sz w:val="19"/>
        </w:rPr>
        <w:t xml:space="preserve">Licensor may terminate immediately upon written notice, without justification, cure, or transition period.</w:t>
      </w:r>
    </w:p>
    <w:p>
      <w:pPr>
        <w:pStyle w:val="ListBullet"/>
        <w:spacing w:after="100"/>
      </w:pPr>
      <w:r>
        <w:rPr>
          <w:rFonts w:ascii="Arial" w:hAnsi="Arial"/>
          <w:sz w:val="19"/>
        </w:rPr>
        <w:t xml:space="preserve">An unauthorized assignment or Change of Control deemed an assignment is null and void.</w:t>
      </w:r>
    </w:p>
    <w:p>
      <w:pPr>
        <w:pStyle w:val="ListBullet"/>
        <w:spacing w:after="100"/>
      </w:pPr>
      <w:r>
        <w:rPr>
          <w:rFonts w:ascii="Arial" w:hAnsi="Arial"/>
          <w:sz w:val="19"/>
        </w:rPr>
        <w:t xml:space="preserve">Under Section 9.5, all license rights cease; use must stop immediately; technology and documentation must be returned or destroyed within 30 days with officer certification; accrued fees and royalties become immediately due; and only fully manufactured inventory may be sold for 90 days, with no new manufacturing.</w:t>
      </w:r>
    </w:p>
    <w:p>
      <w:pPr>
        <w:pStyle w:val="ListBullet"/>
        <w:spacing w:after="100"/>
      </w:pPr>
      <w:r>
        <w:rPr>
          <w:rFonts w:ascii="Arial" w:hAnsi="Arial"/>
          <w:sz w:val="19"/>
        </w:rPr>
        <w:t xml:space="preserve">Exceptions/thresholds:</w:t>
      </w:r>
    </w:p>
    <w:p>
      <w:pPr>
        <w:pStyle w:val="ListBullet"/>
        <w:spacing w:after="100"/>
      </w:pPr>
      <w:r>
        <w:rPr>
          <w:rFonts w:ascii="Arial" w:hAnsi="Arial"/>
          <w:sz w:val="19"/>
        </w:rPr>
        <w:t xml:space="preserve">Voting-control threshold is more than 50%; Affiliate and internal-reorganization exceptions are not stated.</w:t>
      </w:r>
    </w:p>
    <w:p>
      <w:pPr>
        <w:pStyle w:val="ListBullet"/>
        <w:spacing w:after="100"/>
      </w:pPr>
      <w:r>
        <w:rPr>
          <w:rFonts w:ascii="Arial" w:hAnsi="Arial"/>
          <w:sz w:val="19"/>
        </w:rPr>
        <w:t xml:space="preserve">Section 9.3 includes a 60-day dismissal period for an involuntary bankruptcy petition.</w:t>
      </w:r>
    </w:p>
    <w:p>
      <w:pPr>
        <w:pStyle w:val="ListBullet"/>
        <w:spacing w:after="100"/>
      </w:pPr>
      <w:r>
        <w:rPr>
          <w:rFonts w:ascii="Arial" w:hAnsi="Arial"/>
          <w:sz w:val="19"/>
        </w:rPr>
        <w:t xml:space="preserve">Section 9.5 provides a 90-day sell-off only for existing fully manufactured inventory.</w:t>
      </w:r>
    </w:p>
    <w:p>
      <w:pPr>
        <w:pStyle w:val="ListBullet"/>
        <w:spacing w:after="100"/>
      </w:pPr>
      <w:r>
        <w:rPr>
          <w:rFonts w:ascii="Arial" w:hAnsi="Arial"/>
          <w:sz w:val="19"/>
        </w:rPr>
        <w:t xml:space="preserve">No reasonableness standard, deemed consent, cure period, or successor-assignment right is provided.</w:t>
      </w:r>
    </w:p>
    <w:p>
      <w:pPr>
        <w:pStyle w:val="ListBullet"/>
        <w:spacing w:after="100"/>
      </w:pPr>
      <w:r>
        <w:rPr>
          <w:rFonts w:ascii="Arial" w:hAnsi="Arial"/>
          <w:sz w:val="19"/>
        </w:rPr>
        <w:t xml:space="preserve">Benefited/burdened party: Licensor benefits. Licensee, its shareholders, acquirer, and successor are burdened.</w:t>
      </w:r>
    </w:p>
    <w:p>
      <w:pPr>
        <w:pStyle w:val="ListBullet"/>
        <w:spacing w:after="100"/>
      </w:pPr>
      <w:r>
        <w:rPr>
          <w:rFonts w:ascii="Arial" w:hAnsi="Arial"/>
          <w:sz w:val="19"/>
        </w:rPr>
        <w:t xml:space="preserve">Risk rationale: The agreement combines a broad transaction definition, personal and non-transferable license, sole-discretion consent, immediate discretionary termination, nullity of unauthorized transfers, and severe operational wind-down consequences.</w:t>
      </w:r>
    </w:p>
    <w:p>
      <w:pPr>
        <w:pStyle w:val="ListBullet"/>
        <w:spacing w:after="100"/>
      </w:pPr>
      <w:r>
        <w:rPr>
          <w:rFonts w:ascii="Arial" w:hAnsi="Arial"/>
          <w:sz w:val="19"/>
        </w:rPr>
        <w:t xml:space="preserve">Recommended diligence action: Make Licensor’s signed pre-closing consent, waiver, or amendment a closing condition; confirm continuation for the buyer and successors; obtain written confirmation of post-closing manufacturing, servicing, sublicensing, and sell-off rights; and assess replacement technology and business-continuity plans.</w:t>
      </w:r>
    </w:p>
    <w:p>
      <w:pPr>
        <w:pStyle w:val="Heading2"/>
        <w:spacing w:after="100"/>
      </w:pPr>
      <w:r>
        <w:rPr>
          <w:rFonts w:ascii="Arial" w:hAnsi="Arial"/>
          <w:sz w:val="25"/>
          <w:b/>
          <w:color w:val="1F4E79"/>
        </w:rPr>
        <w:t xml:space="preserve">hesse-employment-agreement.docx</w:t>
      </w:r>
    </w:p>
    <w:p>
      <w:pPr>
        <w:pStyle w:val="ListBullet"/>
        <w:spacing w:after="100"/>
      </w:pPr>
      <w:r>
        <w:rPr>
          <w:rFonts w:ascii="Arial" w:hAnsi="Arial"/>
          <w:sz w:val="19"/>
        </w:rPr>
        <w:t xml:space="preserve">Contract/parties (if stated): No contract or party information was provided in the supplied analysis.</w:t>
      </w:r>
    </w:p>
    <w:p>
      <w:pPr>
        <w:pStyle w:val="ListBullet"/>
        <w:spacing w:after="100"/>
      </w:pPr>
      <w:r>
        <w:rPr>
          <w:rFonts w:ascii="Arial" w:hAnsi="Arial"/>
          <w:sz w:val="19"/>
        </w:rPr>
        <w:t xml:space="preserve">Express or functional change-of-control language, with section/article citations and material quoted language: No operative provision was identified in the supplied analysis. The supplied materials do not establish whether the agreement contains a change-of-control termination, severance, equity, retention, or consent provision.</w:t>
      </w:r>
    </w:p>
    <w:p>
      <w:pPr>
        <w:pStyle w:val="ListBullet"/>
        <w:spacing w:after="100"/>
      </w:pPr>
      <w:r>
        <w:rPr>
          <w:rFonts w:ascii="Arial" w:hAnsi="Arial"/>
          <w:sz w:val="19"/>
        </w:rPr>
        <w:t xml:space="preserve">Trigger: Cannot be determined.</w:t>
      </w:r>
    </w:p>
    <w:p>
      <w:pPr>
        <w:pStyle w:val="ListBullet"/>
        <w:spacing w:after="100"/>
      </w:pPr>
      <w:r>
        <w:rPr>
          <w:rFonts w:ascii="Arial" w:hAnsi="Arial"/>
          <w:sz w:val="19"/>
        </w:rPr>
        <w:t xml:space="preserve">Required consent, notice, approval, or other action: Cannot be determined.</w:t>
      </w:r>
    </w:p>
    <w:p>
      <w:pPr>
        <w:pStyle w:val="ListBullet"/>
        <w:spacing w:after="100"/>
      </w:pPr>
      <w:r>
        <w:rPr>
          <w:rFonts w:ascii="Arial" w:hAnsi="Arial"/>
          <w:sz w:val="19"/>
        </w:rPr>
        <w:t xml:space="preserve">Consequence: Cannot be determined, including whether a transaction triggers termination rights, severance, accelerated vesting, bonus payments, or restrictive-covenant consequences.</w:t>
      </w:r>
    </w:p>
    <w:p>
      <w:pPr>
        <w:pStyle w:val="ListBullet"/>
        <w:spacing w:after="100"/>
      </w:pPr>
      <w:r>
        <w:rPr>
          <w:rFonts w:ascii="Arial" w:hAnsi="Arial"/>
          <w:sz w:val="19"/>
        </w:rPr>
        <w:t xml:space="preserve">Exceptions/thresholds: Cannot be determined.</w:t>
      </w:r>
    </w:p>
    <w:p>
      <w:pPr>
        <w:pStyle w:val="ListBullet"/>
        <w:spacing w:after="100"/>
      </w:pPr>
      <w:r>
        <w:rPr>
          <w:rFonts w:ascii="Arial" w:hAnsi="Arial"/>
          <w:sz w:val="19"/>
        </w:rPr>
        <w:t xml:space="preserve">Benefited/burdened party: Cannot be determined.</w:t>
      </w:r>
    </w:p>
    <w:p>
      <w:pPr>
        <w:pStyle w:val="ListBullet"/>
        <w:spacing w:after="100"/>
      </w:pPr>
      <w:r>
        <w:rPr>
          <w:rFonts w:ascii="Arial" w:hAnsi="Arial"/>
          <w:sz w:val="19"/>
        </w:rPr>
        <w:t xml:space="preserve">Risk rationale: The absence of substantive analysis leaves employee-related transaction exposure unresolved.</w:t>
      </w:r>
    </w:p>
    <w:p>
      <w:pPr>
        <w:pStyle w:val="ListBullet"/>
        <w:spacing w:after="100"/>
      </w:pPr>
      <w:r>
        <w:rPr>
          <w:rFonts w:ascii="Arial" w:hAnsi="Arial"/>
          <w:sz w:val="19"/>
        </w:rPr>
        <w:t xml:space="preserve">Recommended diligence action: Review the complete employment agreement, equity and incentive documents, termination and severance provisions, “good reason” definitions, change-of-control provisions, restrictive covenants, benefit plans, and any side letters.</w:t>
      </w:r>
    </w:p>
    <w:p>
      <w:pPr>
        <w:pStyle w:val="Heading2"/>
        <w:spacing w:after="100"/>
      </w:pPr>
      <w:r>
        <w:rPr>
          <w:rFonts w:ascii="Arial" w:hAnsi="Arial"/>
          <w:sz w:val="25"/>
          <w:b/>
          <w:color w:val="1F4E79"/>
        </w:rPr>
        <w:t xml:space="preserve">hq-lease-crescent-ridge.docx</w:t>
      </w:r>
    </w:p>
    <w:p>
      <w:pPr>
        <w:pStyle w:val="ListBullet"/>
        <w:spacing w:after="100"/>
      </w:pPr>
      <w:r>
        <w:rPr>
          <w:rFonts w:ascii="Arial" w:hAnsi="Arial"/>
          <w:sz w:val="19"/>
        </w:rPr>
        <w:t xml:space="preserve">Contract/parties (if stated): Landlord is Crescent Ridge Realty Partners, LP. Tenant is Apex Industrial Technologies, Inc. The premises are governed by the HQ lease.</w:t>
      </w:r>
    </w:p>
    <w:p>
      <w:pPr>
        <w:pStyle w:val="ListBullet"/>
        <w:spacing w:after="100"/>
      </w:pPr>
      <w:r>
        <w:rPr>
          <w:rFonts w:ascii="Arial" w:hAnsi="Arial"/>
          <w:sz w:val="19"/>
        </w:rPr>
        <w:t xml:space="preserve">Express or functional change-of-control language, with section/article citations and material quoted language:</w:t>
      </w:r>
    </w:p>
    <w:p>
      <w:pPr>
        <w:pStyle w:val="ListBullet"/>
        <w:spacing w:after="100"/>
      </w:pPr>
      <w:r>
        <w:rPr>
          <w:rFonts w:ascii="Arial" w:hAnsi="Arial"/>
          <w:sz w:val="19"/>
        </w:rPr>
        <w:t xml:space="preserve">Section 22.1 prohibits any assignment, sublease, transfer, encumbrance, or disposition without Landlord’s prior written consent. An unauthorized Transfer is “void and of no force or effect” and an Event of Default.</w:t>
      </w:r>
    </w:p>
    <w:p>
      <w:pPr>
        <w:pStyle w:val="ListBullet"/>
        <w:spacing w:after="100"/>
      </w:pPr>
      <w:r>
        <w:rPr>
          <w:rFonts w:ascii="Arial" w:hAnsi="Arial"/>
          <w:sz w:val="19"/>
        </w:rPr>
        <w:t xml:space="preserve">Section 22.2 treats as a Deemed Assignment any direct or indirect change in control, merger, consolidation, controlling equity transfer, upstream control transfer, sale of all or substantially all assets, and forward, reverse, or triangular merger, share exchange, asset acquisition, recapitalization, or similar transaction.</w:t>
      </w:r>
    </w:p>
    <w:p>
      <w:pPr>
        <w:pStyle w:val="ListBullet"/>
        <w:spacing w:after="100"/>
      </w:pPr>
      <w:r>
        <w:rPr>
          <w:rFonts w:ascii="Arial" w:hAnsi="Arial"/>
          <w:sz w:val="19"/>
        </w:rPr>
        <w:t xml:space="preserve">Section 22.2 states that there is no Affiliate carve-out.</w:t>
      </w:r>
    </w:p>
    <w:p>
      <w:pPr>
        <w:pStyle w:val="ListBullet"/>
        <w:spacing w:after="100"/>
      </w:pPr>
      <w:r>
        <w:rPr>
          <w:rFonts w:ascii="Arial" w:hAnsi="Arial"/>
          <w:sz w:val="19"/>
        </w:rPr>
        <w:t xml:space="preserve">Section 22.3 provides that consent may not be unreasonably withheld, conditioned, or delayed, but permits reasonable withholding on specified grounds, including inadequate tangible net worth, inconsistent use, governmental status, legal or lease violations, or an uncured default.</w:t>
      </w:r>
    </w:p>
    <w:p>
      <w:pPr>
        <w:pStyle w:val="ListBullet"/>
        <w:spacing w:after="100"/>
      </w:pPr>
      <w:r>
        <w:rPr>
          <w:rFonts w:ascii="Arial" w:hAnsi="Arial"/>
          <w:sz w:val="19"/>
        </w:rPr>
        <w:t xml:space="preserve">Section 22.3 requires a written request at least 30 days before the proposed effective date and provides a 20-business-day response period. Silence is deemed a denial.</w:t>
      </w:r>
    </w:p>
    <w:p>
      <w:pPr>
        <w:pStyle w:val="ListBullet"/>
        <w:spacing w:after="100"/>
      </w:pPr>
      <w:r>
        <w:rPr>
          <w:rFonts w:ascii="Arial" w:hAnsi="Arial"/>
          <w:sz w:val="19"/>
        </w:rPr>
        <w:t xml:space="preserve">Trigger: Any covered direct or indirect change in control, controlling-interest transfer, upstream ownership change, merger, asset sale, recapitalization, or Affiliate transaction that changes the controlling person or group. No specific percentage threshold is stated in Section 22.2; “control” means power to direct management and policies.</w:t>
      </w:r>
    </w:p>
    <w:p>
      <w:pPr>
        <w:pStyle w:val="ListBullet"/>
        <w:spacing w:after="100"/>
      </w:pPr>
      <w:r>
        <w:rPr>
          <w:rFonts w:ascii="Arial" w:hAnsi="Arial"/>
          <w:sz w:val="19"/>
        </w:rPr>
        <w:t xml:space="preserve">Required consent, notice, approval, or other action:</w:t>
      </w:r>
    </w:p>
    <w:p>
      <w:pPr>
        <w:pStyle w:val="ListBullet"/>
        <w:spacing w:after="100"/>
      </w:pPr>
      <w:r>
        <w:rPr>
          <w:rFonts w:ascii="Arial" w:hAnsi="Arial"/>
          <w:sz w:val="19"/>
        </w:rPr>
        <w:t xml:space="preserve">Submit a written consent request at least 30 days before closing.</w:t>
      </w:r>
    </w:p>
    <w:p>
      <w:pPr>
        <w:pStyle w:val="ListBullet"/>
        <w:spacing w:after="100"/>
      </w:pPr>
      <w:r>
        <w:rPr>
          <w:rFonts w:ascii="Arial" w:hAnsi="Arial"/>
          <w:sz w:val="19"/>
        </w:rPr>
        <w:t xml:space="preserve">Provide audited financial statements for the proposed transferee’s prior three fiscal years, business and intended-use information, transaction documents, and other reasonably requested information.</w:t>
      </w:r>
    </w:p>
    <w:p>
      <w:pPr>
        <w:pStyle w:val="ListBullet"/>
        <w:spacing w:after="100"/>
      </w:pPr>
      <w:r>
        <w:rPr>
          <w:rFonts w:ascii="Arial" w:hAnsi="Arial"/>
          <w:sz w:val="19"/>
        </w:rPr>
        <w:t xml:space="preserve">Obtain express written Landlord consent before effectiveness; silence is a deemed denial.</w:t>
      </w:r>
    </w:p>
    <w:p>
      <w:pPr>
        <w:pStyle w:val="ListBullet"/>
        <w:spacing w:after="100"/>
      </w:pPr>
      <w:r>
        <w:rPr>
          <w:rFonts w:ascii="Arial" w:hAnsi="Arial"/>
          <w:sz w:val="19"/>
        </w:rPr>
        <w:t xml:space="preserve">A transferee must assume the lease obligations in writing, but the original Tenant remains primarily liable unless Landlord expressly releases it.</w:t>
      </w:r>
    </w:p>
    <w:p>
      <w:pPr>
        <w:pStyle w:val="ListBullet"/>
        <w:spacing w:after="100"/>
      </w:pPr>
      <w:r>
        <w:rPr>
          <w:rFonts w:ascii="Arial" w:hAnsi="Arial"/>
          <w:sz w:val="19"/>
        </w:rPr>
        <w:t xml:space="preserve">Any amendment, waiver, or release should be signed in writing under Sections 27.4 and 21 notice procedures should be followed.</w:t>
      </w:r>
    </w:p>
    <w:p>
      <w:pPr>
        <w:pStyle w:val="ListBullet"/>
        <w:spacing w:after="100"/>
      </w:pPr>
      <w:r>
        <w:rPr>
          <w:rFonts w:ascii="Arial" w:hAnsi="Arial"/>
          <w:sz w:val="19"/>
        </w:rPr>
        <w:t xml:space="preserve">Consequence:</w:t>
      </w:r>
    </w:p>
    <w:p>
      <w:pPr>
        <w:pStyle w:val="ListBullet"/>
        <w:spacing w:after="100"/>
      </w:pPr>
      <w:r>
        <w:rPr>
          <w:rFonts w:ascii="Arial" w:hAnsi="Arial"/>
          <w:sz w:val="19"/>
        </w:rPr>
        <w:t xml:space="preserve">An unauthorized transaction may be void and an Event of Default.</w:t>
      </w:r>
    </w:p>
    <w:p>
      <w:pPr>
        <w:pStyle w:val="ListBullet"/>
        <w:spacing w:after="100"/>
      </w:pPr>
      <w:r>
        <w:rPr>
          <w:rFonts w:ascii="Arial" w:hAnsi="Arial"/>
          <w:sz w:val="19"/>
        </w:rPr>
        <w:t xml:space="preserve">Landlord may terminate, repossess, accelerate rent and other sums through expiration discounted at 4% per annum, and pursue cumulative remedies.</w:t>
      </w:r>
    </w:p>
    <w:p>
      <w:pPr>
        <w:pStyle w:val="ListBullet"/>
        <w:spacing w:after="100"/>
      </w:pPr>
      <w:r>
        <w:rPr>
          <w:rFonts w:ascii="Arial" w:hAnsi="Arial"/>
          <w:sz w:val="19"/>
        </w:rPr>
        <w:t xml:space="preserve">Under Section 22.4, Landlord may terminate on at least 120 days’ notice, charge an early termination fee equal to 18 months of initial monthly Base Rent, recapture the premises on at least 60 days’ notice, and pursue other remedies.</w:t>
      </w:r>
    </w:p>
    <w:p>
      <w:pPr>
        <w:pStyle w:val="ListBullet"/>
        <w:spacing w:after="100"/>
      </w:pPr>
      <w:r>
        <w:rPr>
          <w:rFonts w:ascii="Arial" w:hAnsi="Arial"/>
          <w:sz w:val="19"/>
        </w:rPr>
        <w:t xml:space="preserve">The early termination fee is $180,000 x 18 months = $3,240,000, payable within 30 days after the Early Termination Date. Landlord may apply the $360,000 Security Deposit.</w:t>
      </w:r>
    </w:p>
    <w:p>
      <w:pPr>
        <w:pStyle w:val="ListBullet"/>
        <w:spacing w:after="100"/>
      </w:pPr>
      <w:r>
        <w:rPr>
          <w:rFonts w:ascii="Arial" w:hAnsi="Arial"/>
          <w:sz w:val="19"/>
        </w:rPr>
        <w:t xml:space="preserve">For an approved Transfer producing excess rent or consideration, Tenant must pay Landlord 50% of the excess after permitted documented costs.</w:t>
      </w:r>
    </w:p>
    <w:p>
      <w:pPr>
        <w:pStyle w:val="ListBullet"/>
        <w:spacing w:after="100"/>
      </w:pPr>
      <w:r>
        <w:rPr>
          <w:rFonts w:ascii="Arial" w:hAnsi="Arial"/>
          <w:sz w:val="19"/>
        </w:rPr>
        <w:t xml:space="preserve">Exceptions/thresholds:</w:t>
      </w:r>
    </w:p>
    <w:p>
      <w:pPr>
        <w:pStyle w:val="ListBullet"/>
        <w:spacing w:after="100"/>
      </w:pPr>
      <w:r>
        <w:rPr>
          <w:rFonts w:ascii="Arial" w:hAnsi="Arial"/>
          <w:sz w:val="19"/>
        </w:rPr>
        <w:t xml:space="preserve">No Affiliate, internal-reorganization, merger, or upstream-transfer exception.</w:t>
      </w:r>
    </w:p>
    <w:p>
      <w:pPr>
        <w:pStyle w:val="ListBullet"/>
        <w:spacing w:after="100"/>
      </w:pPr>
      <w:r>
        <w:rPr>
          <w:rFonts w:ascii="Arial" w:hAnsi="Arial"/>
          <w:sz w:val="19"/>
        </w:rPr>
        <w:t xml:space="preserve">Proposed transferee tangible net worth must be at least the greater of Tenant’s tangible net worth at lease execution or at the proposed Transfer date.</w:t>
      </w:r>
    </w:p>
    <w:p>
      <w:pPr>
        <w:pStyle w:val="ListBullet"/>
        <w:spacing w:after="100"/>
      </w:pPr>
      <w:r>
        <w:rPr>
          <w:rFonts w:ascii="Arial" w:hAnsi="Arial"/>
          <w:sz w:val="19"/>
        </w:rPr>
        <w:t xml:space="preserve">Consent request deadline is 30 days before effectiveness; response period is 20 business days; silence is denial.</w:t>
      </w:r>
    </w:p>
    <w:p>
      <w:pPr>
        <w:pStyle w:val="ListBullet"/>
        <w:spacing w:after="100"/>
      </w:pPr>
      <w:r>
        <w:rPr>
          <w:rFonts w:ascii="Arial" w:hAnsi="Arial"/>
          <w:sz w:val="19"/>
        </w:rPr>
        <w:t xml:space="preserve">Early termination fee uses the initial $180,000 monthly rent notwithstanding escalations.</w:t>
      </w:r>
    </w:p>
    <w:p>
      <w:pPr>
        <w:pStyle w:val="ListBullet"/>
        <w:spacing w:after="100"/>
      </w:pPr>
      <w:r>
        <w:rPr>
          <w:rFonts w:ascii="Arial" w:hAnsi="Arial"/>
          <w:sz w:val="19"/>
        </w:rPr>
        <w:t xml:space="preserve">Security Deposit is $360,000 and must be replenished within 10 days after notice if applied.</w:t>
      </w:r>
    </w:p>
    <w:p>
      <w:pPr>
        <w:pStyle w:val="ListBullet"/>
        <w:spacing w:after="100"/>
      </w:pPr>
      <w:r>
        <w:rPr>
          <w:rFonts w:ascii="Arial" w:hAnsi="Arial"/>
          <w:sz w:val="19"/>
        </w:rPr>
        <w:t xml:space="preserve">Renewal option must be exercised by June 30, 2027 and is personal to Apex; an assignee requires Landlord consent in its sole discretion.</w:t>
      </w:r>
    </w:p>
    <w:p>
      <w:pPr>
        <w:pStyle w:val="ListBullet"/>
        <w:spacing w:after="100"/>
      </w:pPr>
      <w:r>
        <w:rPr>
          <w:rFonts w:ascii="Arial" w:hAnsi="Arial"/>
          <w:sz w:val="19"/>
        </w:rPr>
        <w:t xml:space="preserve">Benefited/burdened party: Landlord benefits substantially. Tenant, acquirer, successor, and transaction parties are burdened.</w:t>
      </w:r>
    </w:p>
    <w:p>
      <w:pPr>
        <w:pStyle w:val="ListBullet"/>
        <w:spacing w:after="100"/>
      </w:pPr>
      <w:r>
        <w:rPr>
          <w:rFonts w:ascii="Arial" w:hAnsi="Arial"/>
          <w:sz w:val="19"/>
        </w:rPr>
        <w:t xml:space="preserve">Risk rationale: The lease combines broad transaction capture, no Affiliate exception, affirmative consent and deemed denial, continuing Tenant liability, default remedies, rent acceleration, recapture, and a fixed $3.24 million fee. An SNDA is only subject to Landlord’s commercially reasonable efforts and is conditioned on no Tenant default.</w:t>
      </w:r>
    </w:p>
    <w:p>
      <w:pPr>
        <w:pStyle w:val="ListBullet"/>
        <w:spacing w:after="100"/>
      </w:pPr>
      <w:r>
        <w:rPr>
          <w:rFonts w:ascii="Arial" w:hAnsi="Arial"/>
          <w:sz w:val="19"/>
        </w:rPr>
        <w:t xml:space="preserve">Recommended diligence action: Obtain Landlord consent before signing or closing; confirm the proposed transferee’s financial qualifications and permitted use; negotiate release of Apex’s continuing liability; address the renewal option; quantify rent acceleration and termination exposure; verify the $360,000 deposit; and obtain or update any SNDA.</w:t>
      </w:r>
    </w:p>
    <w:p>
      <w:pPr>
        <w:pStyle w:val="Heading2"/>
        <w:spacing w:after="100"/>
      </w:pPr>
      <w:r>
        <w:rPr>
          <w:rFonts w:ascii="Arial" w:hAnsi="Arial"/>
          <w:sz w:val="25"/>
          <w:b/>
          <w:color w:val="1F4E79"/>
        </w:rPr>
        <w:t xml:space="preserve">northland-refining-msa.docx</w:t>
      </w:r>
    </w:p>
    <w:p>
      <w:pPr>
        <w:pStyle w:val="ListBullet"/>
        <w:spacing w:after="100"/>
      </w:pPr>
      <w:r>
        <w:rPr>
          <w:rFonts w:ascii="Arial" w:hAnsi="Arial"/>
          <w:sz w:val="19"/>
        </w:rPr>
        <w:t xml:space="preserve">Contract/parties (if stated): Northland Refining Corporation and Apex are the parties identified in the analysis.</w:t>
      </w:r>
    </w:p>
    <w:p>
      <w:pPr>
        <w:pStyle w:val="ListBullet"/>
        <w:spacing w:after="100"/>
      </w:pPr>
      <w:r>
        <w:rPr>
          <w:rFonts w:ascii="Arial" w:hAnsi="Arial"/>
          <w:sz w:val="19"/>
        </w:rPr>
        <w:t xml:space="preserve">Express or functional change-of-control language, with section/article citations and material quoted language:</w:t>
      </w:r>
    </w:p>
    <w:p>
      <w:pPr>
        <w:pStyle w:val="ListBullet"/>
        <w:spacing w:after="100"/>
      </w:pPr>
      <w:r>
        <w:rPr>
          <w:rFonts w:ascii="Arial" w:hAnsi="Arial"/>
          <w:sz w:val="19"/>
        </w:rPr>
        <w:t xml:space="preserve">There is no express “Change of Control” clause and no provision expressly identifying a stock sale, merger, or sale of substantially all assets as an independent trigger.</w:t>
      </w:r>
    </w:p>
    <w:p>
      <w:pPr>
        <w:pStyle w:val="ListBullet"/>
        <w:spacing w:after="100"/>
      </w:pPr>
      <w:r>
        <w:rPr>
          <w:rFonts w:ascii="Arial" w:hAnsi="Arial"/>
          <w:sz w:val="19"/>
        </w:rPr>
        <w:t xml:space="preserve">Section 14.2 prohibits assignment, transfer, or delegation “whether by operation of law or otherwise” without the other Party’s prior written consent, which may be withheld in “sole and absolute discretion.” A prohibited transaction is “null and void and of no force or effect.”</w:t>
      </w:r>
    </w:p>
    <w:p>
      <w:pPr>
        <w:pStyle w:val="ListBullet"/>
        <w:spacing w:after="100"/>
      </w:pPr>
      <w:r>
        <w:rPr>
          <w:rFonts w:ascii="Arial" w:hAnsi="Arial"/>
          <w:sz w:val="19"/>
        </w:rPr>
        <w:t xml:space="preserve">Section 14.2 permits assignment without consent to an Affiliate if written notice is given within 30 days and the assigning Party remains jointly and severally liable.</w:t>
      </w:r>
    </w:p>
    <w:p>
      <w:pPr>
        <w:pStyle w:val="ListBullet"/>
        <w:spacing w:after="100"/>
      </w:pPr>
      <w:r>
        <w:rPr>
          <w:rFonts w:ascii="Arial" w:hAnsi="Arial"/>
          <w:sz w:val="19"/>
        </w:rPr>
        <w:t xml:space="preserve">Section 14.3 recognizes successors and permitted assigns only subject to Article 14.</w:t>
      </w:r>
    </w:p>
    <w:p>
      <w:pPr>
        <w:pStyle w:val="ListBullet"/>
        <w:spacing w:after="100"/>
      </w:pPr>
      <w:r>
        <w:rPr>
          <w:rFonts w:ascii="Arial" w:hAnsi="Arial"/>
          <w:sz w:val="19"/>
        </w:rPr>
        <w:t xml:space="preserve">Trigger: An assignment, transfer, or delegation of the agreement or rights, interests, or obligations, including by operation of law. A conventional stock sale or indirect ownership change standing alone is not expressly stated to trigger Section 14.2, although a merger, reorganization, or similar transaction effecting a transfer may implicate it.</w:t>
      </w:r>
    </w:p>
    <w:p>
      <w:pPr>
        <w:pStyle w:val="ListBullet"/>
        <w:spacing w:after="100"/>
      </w:pPr>
      <w:r>
        <w:rPr>
          <w:rFonts w:ascii="Arial" w:hAnsi="Arial"/>
          <w:sz w:val="19"/>
        </w:rPr>
        <w:t xml:space="preserve">Required consent, notice, approval, or other action:</w:t>
      </w:r>
    </w:p>
    <w:p>
      <w:pPr>
        <w:pStyle w:val="ListBullet"/>
        <w:spacing w:after="100"/>
      </w:pPr>
      <w:r>
        <w:rPr>
          <w:rFonts w:ascii="Arial" w:hAnsi="Arial"/>
          <w:sz w:val="19"/>
        </w:rPr>
        <w:t xml:space="preserve">Prior written consent is required for non-Affiliate assignments, and consent may be withheld in sole and absolute discretion.</w:t>
      </w:r>
    </w:p>
    <w:p>
      <w:pPr>
        <w:pStyle w:val="ListBullet"/>
        <w:spacing w:after="100"/>
      </w:pPr>
      <w:r>
        <w:rPr>
          <w:rFonts w:ascii="Arial" w:hAnsi="Arial"/>
          <w:sz w:val="19"/>
        </w:rPr>
        <w:t xml:space="preserve">Affiliate assignments require notice within 30 days after assignment and continuing joint and several liability of the original Party.</w:t>
      </w:r>
    </w:p>
    <w:p>
      <w:pPr>
        <w:pStyle w:val="ListBullet"/>
        <w:spacing w:after="100"/>
      </w:pPr>
      <w:r>
        <w:rPr>
          <w:rFonts w:ascii="Arial" w:hAnsi="Arial"/>
          <w:sz w:val="19"/>
        </w:rPr>
        <w:t xml:space="preserve">Section 13.3 permits termination upon written notice for insolvency, voluntary bankruptcy, an involuntary bankruptcy petition not dismissed within 60 days, a general assignment for creditors, or appointment of a receiver or trustee for all or substantially all assets.</w:t>
      </w:r>
    </w:p>
    <w:p>
      <w:pPr>
        <w:pStyle w:val="ListBullet"/>
        <w:spacing w:after="100"/>
      </w:pPr>
      <w:r>
        <w:rPr>
          <w:rFonts w:ascii="Arial" w:hAnsi="Arial"/>
          <w:sz w:val="19"/>
        </w:rPr>
        <w:t xml:space="preserve">Consequence:</w:t>
      </w:r>
    </w:p>
    <w:p>
      <w:pPr>
        <w:pStyle w:val="ListBullet"/>
        <w:spacing w:after="100"/>
      </w:pPr>
      <w:r>
        <w:rPr>
          <w:rFonts w:ascii="Arial" w:hAnsi="Arial"/>
          <w:sz w:val="19"/>
        </w:rPr>
        <w:t xml:space="preserve">Unauthorized assignments are null and void.</w:t>
      </w:r>
    </w:p>
    <w:p>
      <w:pPr>
        <w:pStyle w:val="ListBullet"/>
        <w:spacing w:after="100"/>
      </w:pPr>
      <w:r>
        <w:rPr>
          <w:rFonts w:ascii="Arial" w:hAnsi="Arial"/>
          <w:sz w:val="19"/>
        </w:rPr>
        <w:t xml:space="preserve">Permitted successors and assigns are recognized only after compliance with Article 14.</w:t>
      </w:r>
    </w:p>
    <w:p>
      <w:pPr>
        <w:pStyle w:val="ListBullet"/>
        <w:spacing w:after="100"/>
      </w:pPr>
      <w:r>
        <w:rPr>
          <w:rFonts w:ascii="Arial" w:hAnsi="Arial"/>
          <w:sz w:val="19"/>
        </w:rPr>
        <w:t xml:space="preserve">Insolvency-related termination may end the agreement.</w:t>
      </w:r>
    </w:p>
    <w:p>
      <w:pPr>
        <w:pStyle w:val="ListBullet"/>
        <w:spacing w:after="100"/>
      </w:pPr>
      <w:r>
        <w:rPr>
          <w:rFonts w:ascii="Arial" w:hAnsi="Arial"/>
          <w:sz w:val="19"/>
        </w:rPr>
        <w:t xml:space="preserve">No express termination, acceleration, put, call, repricing, or purchase-price consequence is tied to an ordinary ownership change.</w:t>
      </w:r>
    </w:p>
    <w:p>
      <w:pPr>
        <w:pStyle w:val="ListBullet"/>
        <w:spacing w:after="100"/>
      </w:pPr>
      <w:r>
        <w:rPr>
          <w:rFonts w:ascii="Arial" w:hAnsi="Arial"/>
          <w:sz w:val="19"/>
        </w:rPr>
        <w:t xml:space="preserve">Exceptions/thresholds:</w:t>
      </w:r>
    </w:p>
    <w:p>
      <w:pPr>
        <w:pStyle w:val="ListBullet"/>
        <w:spacing w:after="100"/>
      </w:pPr>
      <w:r>
        <w:rPr>
          <w:rFonts w:ascii="Arial" w:hAnsi="Arial"/>
          <w:sz w:val="19"/>
        </w:rPr>
        <w:t xml:space="preserve">Affiliate status requires direct or indirect control, including ownership of more than 50% of voting securities or equivalent ownership interest.</w:t>
      </w:r>
    </w:p>
    <w:p>
      <w:pPr>
        <w:pStyle w:val="ListBullet"/>
        <w:spacing w:after="100"/>
      </w:pPr>
      <w:r>
        <w:rPr>
          <w:rFonts w:ascii="Arial" w:hAnsi="Arial"/>
          <w:sz w:val="19"/>
        </w:rPr>
        <w:t xml:space="preserve">Affiliate assignment notice is due within 30 days after assignment.</w:t>
      </w:r>
    </w:p>
    <w:p>
      <w:pPr>
        <w:pStyle w:val="ListBullet"/>
        <w:spacing w:after="100"/>
      </w:pPr>
      <w:r>
        <w:rPr>
          <w:rFonts w:ascii="Arial" w:hAnsi="Arial"/>
          <w:sz w:val="19"/>
        </w:rPr>
        <w:t xml:space="preserve">Original assignor remains jointly and severally liable.</w:t>
      </w:r>
    </w:p>
    <w:p>
      <w:pPr>
        <w:pStyle w:val="ListBullet"/>
        <w:spacing w:after="100"/>
      </w:pPr>
      <w:r>
        <w:rPr>
          <w:rFonts w:ascii="Arial" w:hAnsi="Arial"/>
          <w:sz w:val="19"/>
        </w:rPr>
        <w:t xml:space="preserve">Involuntary bankruptcy petition must remain undismissed for 60 days; receivership threshold is all or substantially all assets.</w:t>
      </w:r>
    </w:p>
    <w:p>
      <w:pPr>
        <w:pStyle w:val="ListBullet"/>
        <w:spacing w:after="100"/>
      </w:pPr>
      <w:r>
        <w:rPr>
          <w:rFonts w:ascii="Arial" w:hAnsi="Arial"/>
          <w:sz w:val="19"/>
        </w:rPr>
        <w:t xml:space="preserve">No express stock-sale, merger, asset-sale, lender, or insurer change-of-control provision exists based on the analysis.</w:t>
      </w:r>
    </w:p>
    <w:p>
      <w:pPr>
        <w:pStyle w:val="ListBullet"/>
        <w:spacing w:after="100"/>
      </w:pPr>
      <w:r>
        <w:rPr>
          <w:rFonts w:ascii="Arial" w:hAnsi="Arial"/>
          <w:sz w:val="19"/>
        </w:rPr>
        <w:t xml:space="preserve">Benefited/burdened party: The non-transferring Party benefits from the consent right. The transferring Party and any unaffiliated purchaser are burdened; original assignors remain liable for Affiliate assignees.</w:t>
      </w:r>
    </w:p>
    <w:p>
      <w:pPr>
        <w:pStyle w:val="ListBullet"/>
        <w:spacing w:after="100"/>
      </w:pPr>
      <w:r>
        <w:rPr>
          <w:rFonts w:ascii="Arial" w:hAnsi="Arial"/>
          <w:sz w:val="19"/>
        </w:rPr>
        <w:t xml:space="preserve">Risk rationale: Ordinary ownership changes are not expressly regulated, but transaction structure creates uncertainty. Asset acquisitions, merger transactions, and transfers by operation of law may require consent, which may be withheld absolutely.</w:t>
      </w:r>
    </w:p>
    <w:p>
      <w:pPr>
        <w:pStyle w:val="ListBullet"/>
        <w:spacing w:after="100"/>
      </w:pPr>
      <w:r>
        <w:rPr>
          <w:rFonts w:ascii="Arial" w:hAnsi="Arial"/>
          <w:sz w:val="19"/>
        </w:rPr>
        <w:t xml:space="preserve">Recommended diligence action: Obtain transaction-specific written confirmation from Northland on whether the contemplated structure constitutes an assignment; if needed, obtain consent before closing; confirm Affiliate status and 30-day notice mechanics; and review insolvency, confidentiality, indemnity, and insurance continuity requirements.</w:t>
      </w:r>
    </w:p>
    <w:p>
      <w:pPr>
        <w:pStyle w:val="Heading2"/>
        <w:spacing w:after="100"/>
      </w:pPr>
      <w:r>
        <w:rPr>
          <w:rFonts w:ascii="Arial" w:hAnsi="Arial"/>
          <w:sz w:val="25"/>
          <w:b/>
          <w:color w:val="1F4E79"/>
        </w:rPr>
        <w:t xml:space="preserve">pacwest-supply-agreement.docx</w:t>
      </w:r>
    </w:p>
    <w:p>
      <w:pPr>
        <w:pStyle w:val="ListBullet"/>
        <w:spacing w:after="100"/>
      </w:pPr>
      <w:r>
        <w:rPr>
          <w:rFonts w:ascii="Arial" w:hAnsi="Arial"/>
          <w:sz w:val="19"/>
        </w:rPr>
        <w:t xml:space="preserve">Contract/parties (if stated): Supplier is Apex; counterparty is PacWest.</w:t>
      </w:r>
    </w:p>
    <w:p>
      <w:pPr>
        <w:pStyle w:val="ListBullet"/>
        <w:spacing w:after="100"/>
      </w:pPr>
      <w:r>
        <w:rPr>
          <w:rFonts w:ascii="Arial" w:hAnsi="Arial"/>
          <w:sz w:val="19"/>
        </w:rPr>
        <w:t xml:space="preserve">Express or functional change-of-control language, with section/article citations and material quoted language:</w:t>
      </w:r>
    </w:p>
    <w:p>
      <w:pPr>
        <w:pStyle w:val="ListBullet"/>
        <w:spacing w:after="100"/>
      </w:pPr>
      <w:r>
        <w:rPr>
          <w:rFonts w:ascii="Arial" w:hAnsi="Arial"/>
          <w:sz w:val="19"/>
        </w:rPr>
        <w:t xml:space="preserve">Section 1.1(c) defines Change of Control to include any merger, consolidation, or reorganization, sale or transfer of all or substantially all assets, acquisition of “more than fifty percent (50%)” of voting securities, or any direct or indirect change in ultimate ownership or control.</w:t>
      </w:r>
    </w:p>
    <w:p>
      <w:pPr>
        <w:pStyle w:val="ListBullet"/>
        <w:spacing w:after="100"/>
      </w:pPr>
      <w:r>
        <w:rPr>
          <w:rFonts w:ascii="Arial" w:hAnsi="Arial"/>
          <w:sz w:val="19"/>
        </w:rPr>
        <w:t xml:space="preserve">Section 10.5(a) requires written notice to PacWest within 10 business days after consummation, including transaction description, acquiring entity or new controller identity, and anticipated impact on performance.</w:t>
      </w:r>
    </w:p>
    <w:p>
      <w:pPr>
        <w:pStyle w:val="ListBullet"/>
        <w:spacing w:after="100"/>
      </w:pPr>
      <w:r>
        <w:rPr>
          <w:rFonts w:ascii="Arial" w:hAnsi="Arial"/>
          <w:sz w:val="19"/>
        </w:rPr>
        <w:t xml:space="preserve">Section 10.5(b) gives PacWest the right, in its “sole discretion,” either to consent to continuation with the successor or reconstituted Supplier or terminate on 90 days’ written notice.</w:t>
      </w:r>
    </w:p>
    <w:p>
      <w:pPr>
        <w:pStyle w:val="ListBullet"/>
        <w:spacing w:after="100"/>
      </w:pPr>
      <w:r>
        <w:rPr>
          <w:rFonts w:ascii="Arial" w:hAnsi="Arial"/>
          <w:sz w:val="19"/>
        </w:rPr>
        <w:t xml:space="preserve">Section 10.5(c) provides that if consent is not obtained within 60 days after closing, PacWest may terminate thereafter; silence is not consent or waiver.</w:t>
      </w:r>
    </w:p>
    <w:p>
      <w:pPr>
        <w:pStyle w:val="ListBullet"/>
        <w:spacing w:after="100"/>
      </w:pPr>
      <w:r>
        <w:rPr>
          <w:rFonts w:ascii="Arial" w:hAnsi="Arial"/>
          <w:sz w:val="19"/>
        </w:rPr>
        <w:t xml:space="preserve">Section 12.2 requires prior written consent for ordinary assignments and states that unauthorized assignments are null and void, but expressly provides that a Change of Control is governed by Section 10.5 and is not treated as an assignment under Section 12.2 if Section 10.5 is followed.</w:t>
      </w:r>
    </w:p>
    <w:p>
      <w:pPr>
        <w:pStyle w:val="ListBullet"/>
        <w:spacing w:after="100"/>
      </w:pPr>
      <w:r>
        <w:rPr>
          <w:rFonts w:ascii="Arial" w:hAnsi="Arial"/>
          <w:sz w:val="19"/>
        </w:rPr>
        <w:t xml:space="preserve">Trigger: Any covered merger, consolidation, reorganization, substantially all-assets sale, acquisition of more than 50% of voting securities, or direct or indirect change in ultimate ownership or control.</w:t>
      </w:r>
    </w:p>
    <w:p>
      <w:pPr>
        <w:pStyle w:val="ListBullet"/>
        <w:spacing w:after="100"/>
      </w:pPr>
      <w:r>
        <w:rPr>
          <w:rFonts w:ascii="Arial" w:hAnsi="Arial"/>
          <w:sz w:val="19"/>
        </w:rPr>
        <w:t xml:space="preserve">Required consent, notice, approval, or other action:</w:t>
      </w:r>
    </w:p>
    <w:p>
      <w:pPr>
        <w:pStyle w:val="ListBullet"/>
        <w:spacing w:after="100"/>
      </w:pPr>
      <w:r>
        <w:rPr>
          <w:rFonts w:ascii="Arial" w:hAnsi="Arial"/>
          <w:sz w:val="19"/>
        </w:rPr>
        <w:t xml:space="preserve">Provide notice within 10 business days after closing.</w:t>
      </w:r>
    </w:p>
    <w:p>
      <w:pPr>
        <w:pStyle w:val="ListBullet"/>
        <w:spacing w:after="100"/>
      </w:pPr>
      <w:r>
        <w:rPr>
          <w:rFonts w:ascii="Arial" w:hAnsi="Arial"/>
          <w:sz w:val="19"/>
        </w:rPr>
        <w:t xml:space="preserve">Seek PacWest’s consent if continuation is desired.</w:t>
      </w:r>
    </w:p>
    <w:p>
      <w:pPr>
        <w:pStyle w:val="ListBullet"/>
        <w:spacing w:after="100"/>
      </w:pPr>
      <w:r>
        <w:rPr>
          <w:rFonts w:ascii="Arial" w:hAnsi="Arial"/>
          <w:sz w:val="19"/>
        </w:rPr>
        <w:t xml:space="preserve">Do not rely on silence; consent is not deemed given after 60 days.</w:t>
      </w:r>
    </w:p>
    <w:p>
      <w:pPr>
        <w:pStyle w:val="ListBullet"/>
        <w:spacing w:after="100"/>
      </w:pPr>
      <w:r>
        <w:rPr>
          <w:rFonts w:ascii="Arial" w:hAnsi="Arial"/>
          <w:sz w:val="19"/>
        </w:rPr>
        <w:t xml:space="preserve">During a 90-day termination notice period, Apex or its successor must fulfill outstanding Purchase Orders and maintain quality, availability, and timeliness.</w:t>
      </w:r>
    </w:p>
    <w:p>
      <w:pPr>
        <w:pStyle w:val="ListBullet"/>
        <w:spacing w:after="100"/>
      </w:pPr>
      <w:r>
        <w:rPr>
          <w:rFonts w:ascii="Arial" w:hAnsi="Arial"/>
          <w:sz w:val="19"/>
        </w:rPr>
        <w:t xml:space="preserve">Consequence:</w:t>
      </w:r>
    </w:p>
    <w:p>
      <w:pPr>
        <w:pStyle w:val="ListBullet"/>
        <w:spacing w:after="100"/>
      </w:pPr>
      <w:r>
        <w:rPr>
          <w:rFonts w:ascii="Arial" w:hAnsi="Arial"/>
          <w:sz w:val="19"/>
        </w:rPr>
        <w:t xml:space="preserve">PacWest may terminate on 90 days’ written notice in its sole discretion.</w:t>
      </w:r>
    </w:p>
    <w:p>
      <w:pPr>
        <w:pStyle w:val="ListBullet"/>
        <w:spacing w:after="100"/>
      </w:pPr>
      <w:r>
        <w:rPr>
          <w:rFonts w:ascii="Arial" w:hAnsi="Arial"/>
          <w:sz w:val="19"/>
        </w:rPr>
        <w:t xml:space="preserve">The agreement may continue with the successor only if PacWest consents.</w:t>
      </w:r>
    </w:p>
    <w:p>
      <w:pPr>
        <w:pStyle w:val="ListBullet"/>
        <w:spacing w:after="100"/>
      </w:pPr>
      <w:r>
        <w:rPr>
          <w:rFonts w:ascii="Arial" w:hAnsi="Arial"/>
          <w:sz w:val="19"/>
        </w:rPr>
        <w:t xml:space="preserve">During the notice period, performance obligations remain in full force.</w:t>
      </w:r>
    </w:p>
    <w:p>
      <w:pPr>
        <w:pStyle w:val="ListBullet"/>
        <w:spacing w:after="100"/>
      </w:pPr>
      <w:r>
        <w:rPr>
          <w:rFonts w:ascii="Arial" w:hAnsi="Arial"/>
          <w:sz w:val="19"/>
        </w:rPr>
        <w:t xml:space="preserve">An ordinary unauthorized assignment is null and void.</w:t>
      </w:r>
    </w:p>
    <w:p>
      <w:pPr>
        <w:pStyle w:val="ListBullet"/>
        <w:spacing w:after="100"/>
      </w:pPr>
      <w:r>
        <w:rPr>
          <w:rFonts w:ascii="Arial" w:hAnsi="Arial"/>
          <w:sz w:val="19"/>
        </w:rPr>
        <w:t xml:space="preserve">Exceptions/thresholds:</w:t>
      </w:r>
    </w:p>
    <w:p>
      <w:pPr>
        <w:pStyle w:val="ListBullet"/>
        <w:spacing w:after="100"/>
      </w:pPr>
      <w:r>
        <w:rPr>
          <w:rFonts w:ascii="Arial" w:hAnsi="Arial"/>
          <w:sz w:val="19"/>
        </w:rPr>
        <w:t xml:space="preserve">Voting threshold is more than 50%, but direct or indirect ultimate-control changes have no stated percentage threshold.</w:t>
      </w:r>
    </w:p>
    <w:p>
      <w:pPr>
        <w:pStyle w:val="ListBullet"/>
        <w:spacing w:after="100"/>
      </w:pPr>
      <w:r>
        <w:rPr>
          <w:rFonts w:ascii="Arial" w:hAnsi="Arial"/>
          <w:sz w:val="19"/>
        </w:rPr>
        <w:t xml:space="preserve">No Affiliate, existing-owner, or internal-reorganization exception.</w:t>
      </w:r>
    </w:p>
    <w:p>
      <w:pPr>
        <w:pStyle w:val="ListBullet"/>
        <w:spacing w:after="100"/>
      </w:pPr>
      <w:r>
        <w:rPr>
          <w:rFonts w:ascii="Arial" w:hAnsi="Arial"/>
          <w:sz w:val="19"/>
        </w:rPr>
        <w:t xml:space="preserve">Consent must be obtained within 60 days after closing to avoid continuing termination uncertainty; no deemed consent applies.</w:t>
      </w:r>
    </w:p>
    <w:p>
      <w:pPr>
        <w:pStyle w:val="ListBullet"/>
        <w:spacing w:after="100"/>
      </w:pPr>
      <w:r>
        <w:rPr>
          <w:rFonts w:ascii="Arial" w:hAnsi="Arial"/>
          <w:sz w:val="19"/>
        </w:rPr>
        <w:t xml:space="preserve">PacWest may assign to a successor municipal authority, governmental entity, or agency without Apex consent, with notice within 30 days.</w:t>
      </w:r>
    </w:p>
    <w:p>
      <w:pPr>
        <w:pStyle w:val="ListBullet"/>
        <w:spacing w:after="100"/>
      </w:pPr>
      <w:r>
        <w:rPr>
          <w:rFonts w:ascii="Arial" w:hAnsi="Arial"/>
          <w:sz w:val="19"/>
        </w:rPr>
        <w:t xml:space="preserve">Benefited/burdened party: PacWest benefits. Apex, its successor, and acquirer are burdened.</w:t>
      </w:r>
    </w:p>
    <w:p>
      <w:pPr>
        <w:pStyle w:val="ListBullet"/>
        <w:spacing w:after="100"/>
      </w:pPr>
      <w:r>
        <w:rPr>
          <w:rFonts w:ascii="Arial" w:hAnsi="Arial"/>
          <w:sz w:val="19"/>
        </w:rPr>
        <w:t xml:space="preserve">Risk rationale: PacWest has a unilateral post-closing continuation decision and can terminate without an objective materiality or performance standard. The post-closing notice deadline is short, and silence provides no protection.</w:t>
      </w:r>
    </w:p>
    <w:p>
      <w:pPr>
        <w:pStyle w:val="ListBullet"/>
        <w:spacing w:after="100"/>
      </w:pPr>
      <w:r>
        <w:rPr>
          <w:rFonts w:ascii="Arial" w:hAnsi="Arial"/>
          <w:sz w:val="19"/>
        </w:rPr>
        <w:t xml:space="preserve">Recommended diligence action: Seek PacWest’s written consent to continuation before signing or closing, or obtain a binding waiver and transition arrangement; map all purchase orders and supply obligations; assess replacement supply capacity; and include the 10-business-day notice and 90-day performance obligations in the closing checklist.</w:t>
      </w:r>
    </w:p>
    <w:p>
      <w:pPr>
        <w:pStyle w:val="Heading2"/>
        <w:spacing w:after="100"/>
      </w:pPr>
      <w:r>
        <w:rPr>
          <w:rFonts w:ascii="Arial" w:hAnsi="Arial"/>
          <w:sz w:val="25"/>
          <w:b/>
          <w:color w:val="1F4E79"/>
        </w:rPr>
        <w:t xml:space="preserve">product-liability-policy.docx</w:t>
      </w:r>
    </w:p>
    <w:p>
      <w:pPr>
        <w:pStyle w:val="ListBullet"/>
        <w:spacing w:after="100"/>
      </w:pPr>
      <w:r>
        <w:rPr>
          <w:rFonts w:ascii="Arial" w:hAnsi="Arial"/>
          <w:sz w:val="19"/>
        </w:rPr>
        <w:t xml:space="preserve">Contract/parties (if stated): Named Insured is Apex Industrial Technologies, Inc. Schedule C also lists Apex-Kenji Precision JV, LLC, stated to be 55% owned by the Named Insured. The insurer is not named in the supplied analysis.</w:t>
      </w:r>
    </w:p>
    <w:p>
      <w:pPr>
        <w:pStyle w:val="ListBullet"/>
        <w:spacing w:after="100"/>
      </w:pPr>
      <w:r>
        <w:rPr>
          <w:rFonts w:ascii="Arial" w:hAnsi="Arial"/>
          <w:sz w:val="19"/>
        </w:rPr>
        <w:t xml:space="preserve">Express or functional change-of-control language, with section/article citations and material quoted language:</w:t>
      </w:r>
    </w:p>
    <w:p>
      <w:pPr>
        <w:pStyle w:val="ListBullet"/>
        <w:spacing w:after="100"/>
      </w:pPr>
      <w:r>
        <w:rPr>
          <w:rFonts w:ascii="Arial" w:hAnsi="Arial"/>
          <w:sz w:val="19"/>
        </w:rPr>
        <w:t xml:space="preserve">Section II defines Change of Control to include acquisition of “fifty percent (50%) or more” of voting securities, specified mergers or share exchanges, sale or transfer of all or substantially all assets, and any transaction changing the ultimate controlling person or entity.</w:t>
      </w:r>
    </w:p>
    <w:p>
      <w:pPr>
        <w:pStyle w:val="ListBullet"/>
        <w:spacing w:after="100"/>
      </w:pPr>
      <w:r>
        <w:rPr>
          <w:rFonts w:ascii="Arial" w:hAnsi="Arial"/>
          <w:sz w:val="19"/>
        </w:rPr>
        <w:t xml:space="preserve">Section IV.E prohibits assignment without prior written Insurer consent, which may be withheld in “sole and absolute discretion”; unauthorized assignment is void and ineffective.</w:t>
      </w:r>
    </w:p>
    <w:p>
      <w:pPr>
        <w:pStyle w:val="ListBullet"/>
        <w:spacing w:after="100"/>
      </w:pPr>
      <w:r>
        <w:rPr>
          <w:rFonts w:ascii="Arial" w:hAnsi="Arial"/>
          <w:sz w:val="19"/>
        </w:rPr>
        <w:t xml:space="preserve">Section IV.F.1 provides that the policy “shall automatically” convert to Run-Off effective on the Change-of-Control date without insurer action.</w:t>
      </w:r>
    </w:p>
    <w:p>
      <w:pPr>
        <w:pStyle w:val="ListBullet"/>
        <w:spacing w:after="100"/>
      </w:pPr>
      <w:r>
        <w:rPr>
          <w:rFonts w:ascii="Arial" w:hAnsi="Arial"/>
          <w:sz w:val="19"/>
        </w:rPr>
        <w:t xml:space="preserve">Section IV.F.5 denies coverage to successor, parent, or Affiliate entities unless a new policy is applied for and issued.</w:t>
      </w:r>
    </w:p>
    <w:p>
      <w:pPr>
        <w:pStyle w:val="ListBullet"/>
        <w:spacing w:after="100"/>
      </w:pPr>
      <w:r>
        <w:rPr>
          <w:rFonts w:ascii="Arial" w:hAnsi="Arial"/>
          <w:sz w:val="19"/>
        </w:rPr>
        <w:t xml:space="preserve">Trigger: Any defined Change of Control, including 50% or more voting ownership, qualifying merger, substantially all-assets transaction, or ultimate-control change. The definition covers transaction series.</w:t>
      </w:r>
    </w:p>
    <w:p>
      <w:pPr>
        <w:pStyle w:val="ListBullet"/>
        <w:spacing w:after="100"/>
      </w:pPr>
      <w:r>
        <w:rPr>
          <w:rFonts w:ascii="Arial" w:hAnsi="Arial"/>
          <w:sz w:val="19"/>
        </w:rPr>
        <w:t xml:space="preserve">Required consent, notice, approval, or other action:</w:t>
      </w:r>
    </w:p>
    <w:p>
      <w:pPr>
        <w:pStyle w:val="ListBullet"/>
        <w:spacing w:after="100"/>
      </w:pPr>
      <w:r>
        <w:rPr>
          <w:rFonts w:ascii="Arial" w:hAnsi="Arial"/>
          <w:sz w:val="19"/>
        </w:rPr>
        <w:t xml:space="preserve">Give written notice to the Insurer within 15 days after the effective date under Section IV.F.2.</w:t>
      </w:r>
    </w:p>
    <w:p>
      <w:pPr>
        <w:pStyle w:val="ListBullet"/>
        <w:spacing w:after="100"/>
      </w:pPr>
      <w:r>
        <w:rPr>
          <w:rFonts w:ascii="Arial" w:hAnsi="Arial"/>
          <w:sz w:val="19"/>
        </w:rPr>
        <w:t xml:space="preserve">Obtain prior written consent for assignment of policy rights under Section IV.E.</w:t>
      </w:r>
    </w:p>
    <w:p>
      <w:pPr>
        <w:pStyle w:val="ListBullet"/>
        <w:spacing w:after="100"/>
      </w:pPr>
      <w:r>
        <w:rPr>
          <w:rFonts w:ascii="Arial" w:hAnsi="Arial"/>
          <w:sz w:val="19"/>
        </w:rPr>
        <w:t xml:space="preserve">A successor must apply for and obtain issuance of a new policy to receive successor coverage.</w:t>
      </w:r>
    </w:p>
    <w:p>
      <w:pPr>
        <w:pStyle w:val="ListBullet"/>
        <w:spacing w:after="100"/>
      </w:pPr>
      <w:r>
        <w:rPr>
          <w:rFonts w:ascii="Arial" w:hAnsi="Arial"/>
          <w:sz w:val="19"/>
        </w:rPr>
        <w:t xml:space="preserve">An Extended Reporting Period election must be made within 30 days after the triggering event, with applicable additional premium.</w:t>
      </w:r>
    </w:p>
    <w:p>
      <w:pPr>
        <w:pStyle w:val="ListBullet"/>
        <w:spacing w:after="100"/>
      </w:pPr>
      <w:r>
        <w:rPr>
          <w:rFonts w:ascii="Arial" w:hAnsi="Arial"/>
          <w:sz w:val="19"/>
        </w:rPr>
        <w:t xml:space="preserve">Run-Off extension requests must be submitted at least 60 days before expiration of the then-current Run-Off Period.</w:t>
      </w:r>
    </w:p>
    <w:p>
      <w:pPr>
        <w:pStyle w:val="ListBullet"/>
        <w:spacing w:after="100"/>
      </w:pPr>
      <w:r>
        <w:rPr>
          <w:rFonts w:ascii="Arial" w:hAnsi="Arial"/>
          <w:sz w:val="19"/>
        </w:rPr>
        <w:t xml:space="preserve">Consequence:</w:t>
      </w:r>
    </w:p>
    <w:p>
      <w:pPr>
        <w:pStyle w:val="ListBullet"/>
        <w:spacing w:after="100"/>
      </w:pPr>
      <w:r>
        <w:rPr>
          <w:rFonts w:ascii="Arial" w:hAnsi="Arial"/>
          <w:sz w:val="19"/>
        </w:rPr>
        <w:t xml:space="preserve">Automatic Run-Off coverage applies only to claims arising from products manufactured, sold, handled, distributed, or disposed of before the Run-Off Conversion Date.</w:t>
      </w:r>
    </w:p>
    <w:p>
      <w:pPr>
        <w:pStyle w:val="ListBullet"/>
        <w:spacing w:after="100"/>
      </w:pPr>
      <w:r>
        <w:rPr>
          <w:rFonts w:ascii="Arial" w:hAnsi="Arial"/>
          <w:sz w:val="19"/>
        </w:rPr>
        <w:t xml:space="preserve">No coverage exists for post-closing products under the existing policy.</w:t>
      </w:r>
    </w:p>
    <w:p>
      <w:pPr>
        <w:pStyle w:val="ListBullet"/>
        <w:spacing w:after="100"/>
      </w:pPr>
      <w:r>
        <w:rPr>
          <w:rFonts w:ascii="Arial" w:hAnsi="Arial"/>
          <w:sz w:val="19"/>
        </w:rPr>
        <w:t xml:space="preserve">Successor, parent, and Affiliate entities have no coverage unless a new policy is issued.</w:t>
      </w:r>
    </w:p>
    <w:p>
      <w:pPr>
        <w:pStyle w:val="ListBullet"/>
        <w:spacing w:after="100"/>
      </w:pPr>
      <w:r>
        <w:rPr>
          <w:rFonts w:ascii="Arial" w:hAnsi="Arial"/>
          <w:sz w:val="19"/>
        </w:rPr>
        <w:t xml:space="preserve">Late notice does not prevent conversion but may permit the Insurer to void coverage for a claim if investigation or defense is prejudiced.</w:t>
      </w:r>
    </w:p>
    <w:p>
      <w:pPr>
        <w:pStyle w:val="ListBullet"/>
        <w:spacing w:after="100"/>
      </w:pPr>
      <w:r>
        <w:rPr>
          <w:rFonts w:ascii="Arial" w:hAnsi="Arial"/>
          <w:sz w:val="19"/>
        </w:rPr>
        <w:t xml:space="preserve">Run-Off continues through the remainder of the policy period; an extension of up to 36 months is discretionary and subject to premium set by the Insurer.</w:t>
      </w:r>
    </w:p>
    <w:p>
      <w:pPr>
        <w:pStyle w:val="ListBullet"/>
        <w:spacing w:after="100"/>
      </w:pPr>
      <w:r>
        <w:rPr>
          <w:rFonts w:ascii="Arial" w:hAnsi="Arial"/>
          <w:sz w:val="19"/>
        </w:rPr>
        <w:t xml:space="preserve">No return premium is payable; all premium paid or due remains fully earned.</w:t>
      </w:r>
    </w:p>
    <w:p>
      <w:pPr>
        <w:pStyle w:val="ListBullet"/>
        <w:spacing w:after="100"/>
      </w:pPr>
      <w:r>
        <w:rPr>
          <w:rFonts w:ascii="Arial" w:hAnsi="Arial"/>
          <w:sz w:val="19"/>
        </w:rPr>
        <w:t xml:space="preserve">Tail options are 12 months at 75% of expiring annual premium ($365,625), 24 months at 125% ($609,375), or 36 months at 175% ($853,125). Tail coverage uses existing aggregate limits and does not cover post-conversion products.</w:t>
      </w:r>
    </w:p>
    <w:p>
      <w:pPr>
        <w:pStyle w:val="ListBullet"/>
        <w:spacing w:after="100"/>
      </w:pPr>
      <w:r>
        <w:rPr>
          <w:rFonts w:ascii="Arial" w:hAnsi="Arial"/>
          <w:sz w:val="19"/>
        </w:rPr>
        <w:t xml:space="preserve">Exceptions/thresholds:</w:t>
      </w:r>
    </w:p>
    <w:p>
      <w:pPr>
        <w:pStyle w:val="ListBullet"/>
        <w:spacing w:after="100"/>
      </w:pPr>
      <w:r>
        <w:rPr>
          <w:rFonts w:ascii="Arial" w:hAnsi="Arial"/>
          <w:sz w:val="19"/>
        </w:rPr>
        <w:t xml:space="preserve">Change-of-control voting threshold is 50% or more.</w:t>
      </w:r>
    </w:p>
    <w:p>
      <w:pPr>
        <w:pStyle w:val="ListBullet"/>
        <w:spacing w:after="100"/>
      </w:pPr>
      <w:r>
        <w:rPr>
          <w:rFonts w:ascii="Arial" w:hAnsi="Arial"/>
          <w:sz w:val="19"/>
        </w:rPr>
        <w:t xml:space="preserve">Merger coverage depends in part on whether pre-transaction holders own less than 50% of the surviving entity.</w:t>
      </w:r>
    </w:p>
    <w:p>
      <w:pPr>
        <w:pStyle w:val="ListBullet"/>
        <w:spacing w:after="100"/>
      </w:pPr>
      <w:r>
        <w:rPr>
          <w:rFonts w:ascii="Arial" w:hAnsi="Arial"/>
          <w:sz w:val="19"/>
        </w:rPr>
        <w:t xml:space="preserve">Asset trigger is all or substantially all assets.</w:t>
      </w:r>
    </w:p>
    <w:p>
      <w:pPr>
        <w:pStyle w:val="ListBullet"/>
        <w:spacing w:after="100"/>
      </w:pPr>
      <w:r>
        <w:rPr>
          <w:rFonts w:ascii="Arial" w:hAnsi="Arial"/>
          <w:sz w:val="19"/>
        </w:rPr>
        <w:t xml:space="preserve">Notice deadline is 15 days; Tail election deadline is 30 days.</w:t>
      </w:r>
    </w:p>
    <w:p>
      <w:pPr>
        <w:pStyle w:val="ListBullet"/>
        <w:spacing w:after="100"/>
      </w:pPr>
      <w:r>
        <w:rPr>
          <w:rFonts w:ascii="Arial" w:hAnsi="Arial"/>
          <w:sz w:val="19"/>
        </w:rPr>
        <w:t xml:space="preserve">Maximum listed Run-Off extension and Tail period is 36 months.</w:t>
      </w:r>
    </w:p>
    <w:p>
      <w:pPr>
        <w:pStyle w:val="ListBullet"/>
        <w:spacing w:after="100"/>
      </w:pPr>
      <w:r>
        <w:rPr>
          <w:rFonts w:ascii="Arial" w:hAnsi="Arial"/>
          <w:sz w:val="19"/>
        </w:rPr>
        <w:t xml:space="preserve">Schedule C’s JV coverage is limited to claims involving products incorporating Apex’s proprietary designs, specifications, or components; no express JV ownership-change trigger is stated.</w:t>
      </w:r>
    </w:p>
    <w:p>
      <w:pPr>
        <w:pStyle w:val="ListBullet"/>
        <w:spacing w:after="100"/>
      </w:pPr>
      <w:r>
        <w:rPr>
          <w:rFonts w:ascii="Arial" w:hAnsi="Arial"/>
          <w:sz w:val="19"/>
        </w:rPr>
        <w:t xml:space="preserve">Benefited/burdened party: Insurer benefits from automatic run-off, discretion over extensions and assignment, and no-return-premium treatment. Apex, the buyer, successor, JV, and post-closing operations are burdened.</w:t>
      </w:r>
    </w:p>
    <w:p>
      <w:pPr>
        <w:pStyle w:val="ListBullet"/>
        <w:spacing w:after="100"/>
      </w:pPr>
      <w:r>
        <w:rPr>
          <w:rFonts w:ascii="Arial" w:hAnsi="Arial"/>
          <w:sz w:val="19"/>
        </w:rPr>
        <w:t xml:space="preserve">Risk rationale: The existing policy does not function as successor operational coverage. The transaction can create an immediate post-closing product-liability gap, while historical exposure requires separate tail planning and potentially substantial additional premium.</w:t>
      </w:r>
    </w:p>
    <w:p>
      <w:pPr>
        <w:pStyle w:val="ListBullet"/>
        <w:spacing w:after="100"/>
      </w:pPr>
      <w:r>
        <w:rPr>
          <w:rFonts w:ascii="Arial" w:hAnsi="Arial"/>
          <w:sz w:val="19"/>
        </w:rPr>
        <w:t xml:space="preserve">Recommended diligence action: Obtain insurer confirmation of the transaction treatment; arrange replacement product-liability coverage effective at closing; evaluate the 12-, 24-, and 36-month Tail options and aggregate-limit erosion; calendar the 15-day notice and 30-day Tail deadlines; confirm coverage for the JV and all post-closing entities; and allocate premium and historical-claims responsibility in the transaction documents.</w:t>
      </w:r>
    </w:p>
    <w:p>
      <w:pPr>
        <w:pStyle w:val="Heading1"/>
        <w:spacing w:after="100"/>
      </w:pPr>
      <w:r>
        <w:rPr>
          <w:rFonts w:ascii="Arial" w:hAnsi="Arial"/>
          <w:sz w:val="30"/>
          <w:b/>
          <w:color w:val="1F4E79"/>
        </w:rPr>
        <w:t xml:space="preserve">5. Cross-Document Diligence Recommendations</w:t>
      </w:r>
    </w:p>
    <w:p>
      <w:pPr>
        <w:pStyle w:val="ListNumber"/>
        <w:spacing w:after="100"/>
      </w:pPr>
      <w:r>
        <w:rPr>
          <w:rFonts w:ascii="Arial" w:hAnsi="Arial"/>
          <w:sz w:val="19"/>
        </w:rPr>
        <w:t xml:space="preserve">Make receipt of all required third-party consents, waivers, and continuation confirmations a condition to closing, particularly for the Hendricks license, Crescent Ridge lease, PacWest agreement, Northland MSA where applicable, and insurance arrangements.</w:t>
      </w:r>
    </w:p>
    <w:p>
      <w:pPr>
        <w:pStyle w:val="ListNumber"/>
        <w:spacing w:after="100"/>
      </w:pPr>
      <w:r>
        <w:rPr>
          <w:rFonts w:ascii="Arial" w:hAnsi="Arial"/>
          <w:sz w:val="19"/>
        </w:rPr>
        <w:t xml:space="preserve">Obtain written confirmation—not oral assurances—that each counterparty or insurer consents to the contemplated transaction structure, including stock purchase, merger, asset acquisition, upstream ownership change, and any post-closing restructuring.</w:t>
      </w:r>
    </w:p>
    <w:p>
      <w:pPr>
        <w:pStyle w:val="ListNumber"/>
        <w:spacing w:after="100"/>
      </w:pPr>
      <w:r>
        <w:rPr>
          <w:rFonts w:ascii="Arial" w:hAnsi="Arial"/>
          <w:sz w:val="19"/>
        </w:rPr>
        <w:t xml:space="preserve">Prepare a transaction-structure matrix identifying whether each document is triggered by a direct equity sale, indirect ownership change, merger, asset sale, internal reorganization, Affiliate transfer, or transfer by operation of law.</w:t>
      </w:r>
    </w:p>
    <w:p>
      <w:pPr>
        <w:pStyle w:val="ListNumber"/>
        <w:spacing w:after="100"/>
      </w:pPr>
      <w:r>
        <w:rPr>
          <w:rFonts w:ascii="Arial" w:hAnsi="Arial"/>
          <w:sz w:val="19"/>
        </w:rPr>
        <w:t xml:space="preserve">For the Hendricks license, negotiate a successor-rights amendment confirming continued license rights for the buyer, Affiliates, successors, and permitted assigns, eliminating sole-discretion termination and preserving manufacturing and servicing rights.</w:t>
      </w:r>
    </w:p>
    <w:p>
      <w:pPr>
        <w:pStyle w:val="ListNumber"/>
        <w:spacing w:after="100"/>
      </w:pPr>
      <w:r>
        <w:rPr>
          <w:rFonts w:ascii="Arial" w:hAnsi="Arial"/>
          <w:sz w:val="19"/>
        </w:rPr>
        <w:t xml:space="preserve">For the Crescent Ridge lease, submit the complete consent package at least 30 days before closing, address the 20-business-day deemed-denial rule, negotiate release of Apex’s continuing liability, and evaluate the $3.24 million fee, rent acceleration, recapture, and renewal-option risks.</w:t>
      </w:r>
    </w:p>
    <w:p>
      <w:pPr>
        <w:pStyle w:val="ListNumber"/>
        <w:spacing w:after="100"/>
      </w:pPr>
      <w:r>
        <w:rPr>
          <w:rFonts w:ascii="Arial" w:hAnsi="Arial"/>
          <w:sz w:val="19"/>
        </w:rPr>
        <w:t xml:space="preserve">For PacWest, obtain consent before closing if possible, or a signed continuation agreement; calendar the 10-business-day post-closing notice, the 60-day no-deemed-consent period, the 90-day termination period, and continuing Purchase Order obligations.</w:t>
      </w:r>
    </w:p>
    <w:p>
      <w:pPr>
        <w:pStyle w:val="ListNumber"/>
        <w:spacing w:after="100"/>
      </w:pPr>
      <w:r>
        <w:rPr>
          <w:rFonts w:ascii="Arial" w:hAnsi="Arial"/>
          <w:sz w:val="19"/>
        </w:rPr>
        <w:t xml:space="preserve">For Northland, obtain a written interpretation or consent for any merger, asset transfer, acquisition-vehicle assignment, or other transaction that could constitute a transfer by operation of law; confirm whether any Affiliate exception applies and preserve the original Party’s joint and several liability where required.</w:t>
      </w:r>
    </w:p>
    <w:p>
      <w:pPr>
        <w:pStyle w:val="ListNumber"/>
        <w:spacing w:after="100"/>
      </w:pPr>
      <w:r>
        <w:rPr>
          <w:rFonts w:ascii="Arial" w:hAnsi="Arial"/>
          <w:sz w:val="19"/>
        </w:rPr>
        <w:t xml:space="preserve">For the product-liability policy, bind replacement coverage effective no later than closing, confirm successor and Affiliate coverage, evaluate Tail and Run-Off options, and calendar the 15-day notice and 30-day Tail election deadlines.</w:t>
      </w:r>
    </w:p>
    <w:p>
      <w:pPr>
        <w:pStyle w:val="ListNumber"/>
        <w:spacing w:after="100"/>
      </w:pPr>
      <w:r>
        <w:rPr>
          <w:rFonts w:ascii="Arial" w:hAnsi="Arial"/>
          <w:sz w:val="19"/>
        </w:rPr>
        <w:t xml:space="preserve">Review all missing analyses immediately—especially the Summit credit agreement, Apex-Kenji JV agreement, and Hesse employment agreement—for acceleration, mandatory prepayment, lender consent, severance, accelerated vesting, buy-sell, dilution, or other change-of-control provisions.</w:t>
      </w:r>
    </w:p>
    <w:p>
      <w:pPr>
        <w:pStyle w:val="ListNumber"/>
        <w:spacing w:after="100"/>
      </w:pPr>
      <w:r>
        <w:rPr>
          <w:rFonts w:ascii="Arial" w:hAnsi="Arial"/>
          <w:sz w:val="19"/>
        </w:rPr>
        <w:t xml:space="preserve">Include tailored representations, covenants, indemnities, purchase-price adjustments, and escrow protection for any loss of license, lease rights, supply contracts, insurance coverage, or employment benefits resulting from an unconsented transaction.</w:t>
      </w:r>
    </w:p>
    <w:p>
      <w:pPr>
        <w:pStyle w:val="ListNumber"/>
        <w:spacing w:after="100"/>
      </w:pPr>
      <w:r>
        <w:rPr>
          <w:rFonts w:ascii="Arial" w:hAnsi="Arial"/>
          <w:sz w:val="19"/>
        </w:rPr>
        <w:t xml:space="preserve">Build a closing and post-closing compliance checklist covering written notices, delivery methods, consent expiration, required successor assumptions, insurance certificates, Purchase Orders, inventory sell-off, technology return obligations, and security-deposit replenishment.</w:t>
      </w:r>
    </w:p>
    <w:p>
      <w:pPr>
        <w:pStyle w:val="ListNumber"/>
        <w:spacing w:after="100"/>
      </w:pPr>
      <w:r>
        <w:rPr>
          <w:rFonts w:ascii="Arial" w:hAnsi="Arial"/>
          <w:sz w:val="19"/>
        </w:rPr>
        <w:t xml:space="preserve">Confirm that all waivers, amendments, releases, and consents satisfy applicable signed-writing requirements, including Hendricks Sections 12.2 and 12.3, Crescent Ridge Section 27.4, and any analogous provisions identified in the missing documents.</w:t>
      </w:r>
    </w:p>
    <w:p>
      <w:pPr>
        <w:pStyle w:val="Heading1"/>
        <w:spacing w:after="100"/>
      </w:pPr>
      <w:r>
        <w:rPr>
          <w:rFonts w:ascii="Arial" w:hAnsi="Arial"/>
          <w:sz w:val="30"/>
          <w:b/>
          <w:color w:val="1F4E79"/>
        </w:rPr>
        <w:t xml:space="preserve">6. Limitations</w:t>
      </w:r>
    </w:p>
    <w:p>
      <w:pPr>
        <w:spacing w:after="100"/>
      </w:pPr>
      <w:r>
        <w:rPr>
          <w:rFonts w:ascii="Arial" w:hAnsi="Arial"/>
          <w:sz w:val="19"/>
        </w:rPr>
        <w:t xml:space="preserve">This report is based exclusively on the contract analyses supplied. The analyses for apex-kenji-jv-agreement.docx, credit-agreement-summit.docx, and hesse-employment-agreement.docx contained no substantive findings, so this report cannot determine whether those contracts contain operative change-of-control, assignment, acceleration, termination, employment, financing, or other transaction provisions. No independent review of the underlying documents, amendments, schedules, exhibits, governing law, transaction structure, organizational documents, insurance binders, lender materials, or applicable law was performed. Conclusions should therefore be confirmed against complete executed agreements and the final transaction documents.</w:t>
      </w:r>
    </w:p>
    <w:p>
      <w:pPr>
        <w:pStyle w:val="Heading1"/>
        <w:spacing w:after="100"/>
      </w:pPr>
      <w:r>
        <w:rPr>
          <w:rFonts w:ascii="Arial" w:hAnsi="Arial"/>
          <w:sz w:val="30"/>
          <w:b/>
          <w:color w:val="1F4E79"/>
        </w:rPr>
        <w:t xml:space="preserve">7. Source Document Coverage Check</w:t>
      </w:r>
    </w:p>
    <w:p>
      <w:pPr>
        <w:spacing w:after="100"/>
      </w:pPr>
      <w:r>
        <w:rPr>
          <w:rFonts w:ascii="Arial" w:hAnsi="Arial"/>
          <w:sz w:val="19"/>
        </w:rPr>
        <w:t xml:space="preserve">The report addresses the following supplied documents: apex-kenji-jv-agreement.docx.txt; credit-agreement-summit.docx.txt; hendricks-license-agreement.docx.txt; hesse-employment-agreement.docx.txt; hq-lease-crescent-ridge.docx.txt; northland-refining-msa.docx.txt; pacwest-supply-agreement.docx.txt; product-liability-policy.docx.txt. Each document was separately submitted for semantic review. Where the supplied analysis did not identify substantive findings, the report preserves that uncertainty rather than inferring a contractual result.</w:t>
      </w:r>
    </w:p>
    <w:sectPr>
      <w:pgSz w:w="12240" w:h="15840"/>
      <w:pgMar w:top="720" w:right="720" w:bottom="720" w:left="720"/>
      <w:headerReference w:type="default" r:id="rId2"/>
      <w:footerReference w:type="default" r:id="rId3"/>
    </w:sectPr>
  </w:body>
</w:document>
</file>

<file path=word/footer1.xml><?xml version="1.0" encoding="utf-8"?>
<w:ftr xmlns:w="http://schemas.openxmlformats.org/wordprocessingml/2006/main">
  <w:p>
    <w:pPr>
      <w:jc w:val="center"/>
    </w:pPr>
    <w:r>
      <w:rPr>
        <w:rFonts w:ascii="Arial" w:hAnsi="Arial"/>
        <w:sz w:val="16"/>
      </w:rPr>
      <w:t>Change-of-Control Extraction Report</w:t>
    </w:r>
  </w:p>
</w:ftr>
</file>

<file path=word/header1.xml><?xml version="1.0" encoding="utf-8"?>
<w:hdr xmlns:w="http://schemas.openxmlformats.org/wordprocessingml/2006/main">
  <w:p>
    <w:pPr>
      <w:jc w:val="right"/>
    </w:pPr>
    <w:r>
      <w:rPr>
        <w:rFonts w:ascii="Arial" w:hAnsi="Arial"/>
        <w:sz w:val="16"/>
      </w:rPr>
      <w:t>Confidential – Due Diligence Work Product</w:t>
    </w:r>
  </w:p>
</w:hdr>
</file>

<file path=word/numbering.xml><?xml version="1.0" encoding="utf-8"?>
<w:numbering xmlns:w="http://schemas.openxmlformats.org/wordprocessingml/2006/main">
  <w:abstractNum w:abstractNumId="0">
    <w:multiLevelType w:val="singleLevel"/>
    <w:lvl w:ilvl="0">
      <w:numFmt w:val="bullet"/>
      <w:lvlText w:val="•"/>
    </w:lvl>
  </w:abstractNum>
  <w:num w:numId="1">
    <w:abstractNumId w:val="0"/>
  </w:num>
  <w:abstractNum w:abstractNumId="1">
    <w:multiLevelType w:val="singleLevel"/>
    <w:lvl w:ilvl="0">
      <w:numFmt w:val="decimal"/>
      <w:lvlText w:val="%1."/>
    </w:lvl>
  </w:abstractNum>
  <w:num w:numId="2">
    <w:abstractNumId w:val="1"/>
  </w:num>
</w:numbering>
</file>

<file path=word/styles.xml><?xml version="1.0" encoding="utf-8"?>
<w:styles xmlns:w="http://schemas.openxmlformats.org/wordprocessingml/2006/main">
  <w:style w:type="paragraph" w:default="1" w:styleId="Normal">
    <w:name w:val="Normal"/>
    <w:rPr>
      <w:rFonts w:ascii="Arial" w:hAnsi="Arial"/>
      <w:sz w:val="19"/>
    </w:rPr>
  </w:style>
  <w:style w:type="paragraph" w:styleId="Heading1">
    <w:name w:val="heading 1"/>
    <w:basedOn w:val="Normal"/>
    <w:next w:val="Normal"/>
    <w:rPr>
      <w:rFonts w:ascii="Arial" w:hAnsi="Arial"/>
      <w:b/>
      <w:color w:val="1F4E79"/>
      <w:sz w:val="30"/>
    </w:rPr>
  </w:style>
  <w:style w:type="paragraph" w:styleId="Heading2">
    <w:name w:val="heading 2"/>
    <w:basedOn w:val="Normal"/>
    <w:next w:val="Normal"/>
    <w:rPr>
      <w:rFonts w:ascii="Arial" w:hAnsi="Arial"/>
      <w:b/>
      <w:color w:val="1F4E79"/>
      <w:sz w:val="25"/>
    </w:rPr>
  </w:style>
  <w:style w:type="paragraph" w:styleId="ListBullet">
    <w:name w:val="List Bullet"/>
    <w:basedOn w:val="Normal"/>
    <w:pPr>
      <w:numPr>
        <w:ilvl w:val="0"/>
        <w:numId w:val="1"/>
      </w:numPr>
    </w:pPr>
  </w:style>
  <w:style w:type="paragraph" w:styleId="ListNumber">
    <w:name w:val="List Number"/>
    <w:basedOn w:val="Normal"/>
    <w:pPr>
      <w:numPr>
        <w:ilvl w:val="0"/>
        <w:numId w:val="2"/>
      </w:numP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numbering" Target="numbering.xml"/>
</Relationships>
</file>