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07 - Installing and Configuring a SIEM using Wazuh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Configuration Screenshot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1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all network interfaces and their corresponding IP addresses, use the ip a command, which stands for ip addr show. The broadcast address is 192.168.12.255, whereas the eth0 interface IP, 192.168.12.16, has the same range as the internal address.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Test Screenshot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whether the host computer is reachable, the ping program sends an ICMP ECHO_REQUEST to the designated IP address. In this instance, 192.168.12.1 is the pfsense's IP address. The reachability of pfsense is demonstrated via the ping command.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Status Screenshot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command sudo systemctl status obtains details about the specified service. In this instance, the command is being used to determine whether the service is operational.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wazuh-dashboard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wazuh-dashboard component is in the active/running state.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wazuh-indexer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wazuh-indexer component is in the active/running state.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wazuh-manager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wazuh-manager component is in the active/running state.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filebeat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filebeat component is in the active/running state.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 Login Screenshot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setting up the Wazuh Manager, I accessed the Wazuh Dashboard from the Admin Client Ubuntu VM to verify the installation. I ensured both VMs were on the same internal network. Using a web browser, I navigated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https://192.168.12.16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IP address of the Wazuh Manager. I logged in successfully with the default credentials (username: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password: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This confirmed that the Wazuh Manager and Dashboard services were properly configured and accessible. A screenshot of the logged-in dashboard was captured as the fourth deliverable.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Deployment Screenshot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ought to have occurred is this: Within the dashboard, we went to the summary page and then to the agents management. A fresh agent with environment type ____ was then deployed. After that, the agent was set up and set up using the Wazuh server's IP address, 192.168.12.16.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