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c2542f"/>
          <w:sz w:val="18"/>
          <w:szCs w:val="18"/>
        </w:rPr>
      </w:pPr>
      <w:r w:rsidDel="00000000" w:rsidR="00000000" w:rsidRPr="00000000">
        <w:rPr>
          <w:b w:val="1"/>
          <w:bCs w:val="1"/>
          <w:color w:val="c2542f"/>
          <w:sz w:val="18"/>
          <w:szCs w:val="18"/>
          <w:rtl w:val="0"/>
        </w:rPr>
        <w:t xml:space="preserve">SEO PERFORMANCE PROJECT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  <w:color w:val="14202b"/>
          <w:sz w:val="46"/>
          <w:szCs w:val="46"/>
        </w:rPr>
      </w:pPr>
      <w:r w:rsidDel="00000000" w:rsidR="00000000" w:rsidRPr="00000000">
        <w:rPr>
          <w:b w:val="1"/>
          <w:bCs w:val="1"/>
          <w:color w:val="14202b"/>
          <w:sz w:val="46"/>
          <w:szCs w:val="46"/>
          <w:rtl w:val="0"/>
        </w:rPr>
        <w:t xml:space="preserve">Recommendations</w:t>
      </w:r>
    </w:p>
    <w:p w:rsidR="00000000" w:rsidDel="00000000" w:rsidP="00000000" w:rsidRDefault="00000000" w:rsidRPr="00000000" w14:paraId="00000003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follow directly from Key_Findings.docx. Each one names the specific number behind it so it can be checked against the dashboard.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4202b"/>
        </w:rPr>
      </w:pPr>
      <w:bookmarkStart w:colFirst="0" w:colLast="0" w:name="_1yo8tputm42o" w:id="0"/>
      <w:bookmarkEnd w:id="0"/>
      <w:r w:rsidDel="00000000" w:rsidR="00000000" w:rsidRPr="00000000">
        <w:rPr>
          <w:b w:val="1"/>
          <w:bCs w:val="1"/>
          <w:color w:val="14202b"/>
          <w:rtl w:val="0"/>
        </w:rPr>
        <w:t xml:space="preserve">1. Keyword focus</w:t>
      </w:r>
    </w:p>
    <w:p w:rsidR="00000000" w:rsidDel="00000000" w:rsidP="00000000" w:rsidRDefault="00000000" w:rsidRPr="00000000" w14:paraId="00000005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Prioritize lower-competition terms where a top-10 placement is realistically reachable before spending further effort on the three most contested queries (Data science, Deep learning, Machine learning — each with 1– 3+ billion indexed results).</w:t>
      </w:r>
    </w:p>
    <w:tbl>
      <w:tblPr>
        <w:tblStyle w:val="Table1"/>
        <w:tblW w:w="810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625"/>
        <w:gridCol w:w="1530"/>
        <w:gridCol w:w="2700"/>
        <w:tblGridChange w:id="0">
          <w:tblGrid>
            <w:gridCol w:w="1245"/>
            <w:gridCol w:w="2625"/>
            <w:gridCol w:w="1530"/>
            <w:gridCol w:w="2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20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20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20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Search results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20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Why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Convolutional neural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Lowest competition tracked; realistic to break into top 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Multilayer perceptron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Least contested term in the set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Unsupervised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19.1M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Wikipedia holds #1 — room for a more practical, example-led page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4202b"/>
        </w:rPr>
      </w:pPr>
      <w:bookmarkStart w:colFirst="0" w:colLast="0" w:name="_qhw4y6mjy7xk" w:id="1"/>
      <w:bookmarkEnd w:id="1"/>
      <w:r w:rsidDel="00000000" w:rsidR="00000000" w:rsidRPr="00000000">
        <w:rPr>
          <w:b w:val="1"/>
          <w:bCs w:val="1"/>
          <w:color w:val="14202b"/>
          <w:rtl w:val="0"/>
        </w:rPr>
        <w:t xml:space="preserve">2. Content strategy</w:t>
      </w:r>
    </w:p>
    <w:p w:rsidR="00000000" w:rsidDel="00000000" w:rsidP="00000000" w:rsidRDefault="00000000" w:rsidRPr="00000000" w14:paraId="00000017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For pages on lower-authority domains (DA 0–24), lean into longer, in-depth content — this band shows both the longest average content (1,764 words) and the highest ranking-improvement rate (50%) in the audit.</w:t>
      </w:r>
    </w:p>
    <w:p w:rsidR="00000000" w:rsidDel="00000000" w:rsidP="00000000" w:rsidRDefault="00000000" w:rsidRPr="00000000" w14:paraId="00000018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Don't assume more backlinks alone will move mid-authority (DA 50–74) pages — this band has a similar backlink count to every other band (~9.8) but the lowest improvement rate (29.9%), so the constraint there is more likely content or on-page factors than link volume.</w:t>
      </w:r>
    </w:p>
    <w:p w:rsidR="00000000" w:rsidDel="00000000" w:rsidP="00000000" w:rsidRDefault="00000000" w:rsidRPr="00000000" w14:paraId="00000019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Target the least-contested keywords (CNN, multilayer perceptron) with genuinely practical, example-driven pages rather than encyclopedia-style overviews, since Wikipedia and general reference sites already dominate the more definitional queries.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4202b"/>
        </w:rPr>
      </w:pPr>
      <w:bookmarkStart w:colFirst="0" w:colLast="0" w:name="_776bsifj59l" w:id="2"/>
      <w:bookmarkEnd w:id="2"/>
      <w:r w:rsidDel="00000000" w:rsidR="00000000" w:rsidRPr="00000000">
        <w:rPr>
          <w:b w:val="1"/>
          <w:bCs w:val="1"/>
          <w:color w:val="14202b"/>
          <w:rtl w:val="0"/>
        </w:rPr>
        <w:t xml:space="preserve">3. Backlink building</w:t>
      </w:r>
    </w:p>
    <w:p w:rsidR="00000000" w:rsidDel="00000000" w:rsidP="00000000" w:rsidRDefault="00000000" w:rsidRPr="00000000" w14:paraId="0000001B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28 links came in over 5 months at an uneven pace (7, 4, 11, 1, 5 per month) with authority holding flat around 48. Two concrete adjustments:</w:t>
      </w:r>
    </w:p>
    <w:p w:rsidR="00000000" w:rsidDel="00000000" w:rsidP="00000000" w:rsidRDefault="00000000" w:rsidRPr="00000000" w14:paraId="0000001C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Set a minimum monthly floor (e.g. 4–5 links/month) rather than letting outreach cluster into occasional bursts — April's single link is the clearest gap in the current data.</w:t>
      </w:r>
    </w:p>
    <w:p w:rsidR="00000000" w:rsidDel="00000000" w:rsidP="00000000" w:rsidRDefault="00000000" w:rsidRPr="00000000" w14:paraId="0000001D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Since acquired links are consistently mid-authority (~48), the next step up is deliberately targeting a handful of higher-authority domains (60+) to lift the average rather than just adding more at the current tier.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4202b"/>
        </w:rPr>
      </w:pPr>
      <w:bookmarkStart w:colFirst="0" w:colLast="0" w:name="_9q5p3yte9e0v" w:id="3"/>
      <w:bookmarkEnd w:id="3"/>
      <w:r w:rsidDel="00000000" w:rsidR="00000000" w:rsidRPr="00000000">
        <w:rPr>
          <w:b w:val="1"/>
          <w:bCs w:val="1"/>
          <w:color w:val="14202b"/>
          <w:rtl w:val="0"/>
        </w:rPr>
        <w:t xml:space="preserve">4. Traffic</w:t>
      </w:r>
    </w:p>
    <w:p w:rsidR="00000000" w:rsidDel="00000000" w:rsidP="00000000" w:rsidRDefault="00000000" w:rsidRPr="00000000" w14:paraId="0000001F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Investigate what happened in April–May 2020: sessions jumped from 275K to 548K in one month. Pin down whether it was a specific channel, page, or external event before trying to repeat it — the current data can't say on its own.</w:t>
      </w:r>
    </w:p>
    <w:p w:rsidR="00000000" w:rsidDel="00000000" w:rsidP="00000000" w:rsidRDefault="00000000" w:rsidRPr="00000000" w14:paraId="00000020">
      <w:pPr>
        <w:spacing w:after="8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Organic is the largest channel in the engagement snapshot (39% of sessions) with bounce and conversion rates close to every other channel — there's no single underperforming channel to fix; gains are more likely to come from volume than from channel-mix changes.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4202b"/>
        </w:rPr>
      </w:pPr>
      <w:bookmarkStart w:colFirst="0" w:colLast="0" w:name="_1poh50e717j3" w:id="4"/>
      <w:bookmarkEnd w:id="4"/>
      <w:r w:rsidDel="00000000" w:rsidR="00000000" w:rsidRPr="00000000">
        <w:rPr>
          <w:b w:val="1"/>
          <w:bCs w:val="1"/>
          <w:color w:val="14202b"/>
          <w:rtl w:val="0"/>
        </w:rPr>
        <w:t xml:space="preserve">5. Reporting caution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260" w:firstLine="0"/>
        <w:rPr>
          <w:i w:val="1"/>
          <w:iCs w:val="1"/>
          <w:color w:val="6b6558"/>
          <w:sz w:val="24"/>
          <w:szCs w:val="24"/>
        </w:rPr>
      </w:pPr>
      <w:r w:rsidDel="00000000" w:rsidR="00000000" w:rsidRPr="00000000">
        <w:rPr>
          <w:i w:val="1"/>
          <w:iCs w:val="1"/>
          <w:color w:val="6b6558"/>
          <w:sz w:val="24"/>
          <w:szCs w:val="24"/>
          <w:rtl w:val="0"/>
        </w:rPr>
        <w:t xml:space="preserve">Before repeating the “Source A holds 48% market share” line externally, confirm with the data owner what “A” actually represents — the labeling in this file (single letters, some malformed codes like “l.M”) suggests it may be an export artifact rather than one clean channel.</w:t>
      </w:r>
    </w:p>
    <w:p w:rsidR="00000000" w:rsidDel="00000000" w:rsidP="00000000" w:rsidRDefault="00000000" w:rsidRPr="00000000" w14:paraId="00000023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