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F172A"/>
          <w:sz w:val="36"/>
        </w:rPr>
        <w:t>PromptPulse: Technical Approach, Architecture &amp; Learning Review</w:t>
      </w:r>
    </w:p>
    <w:p>
      <w:pPr>
        <w:spacing w:before="0" w:after="280"/>
      </w:pPr>
      <w:r>
        <w:rPr>
          <w:color w:val="64748B"/>
          <w:sz w:val="23"/>
        </w:rPr>
        <w:t>POC Discussion Document — Engineering Bottlenecks, SEO/GEO Insights &amp; Implementation Plan</w:t>
      </w:r>
    </w:p>
    <w:p>
      <w:pPr>
        <w:spacing w:before="280" w:after="80"/>
      </w:pPr>
      <w:r>
        <w:rPr>
          <w:b/>
          <w:color w:val="0F172A"/>
          <w:sz w:val="30"/>
        </w:rPr>
        <w:t>1. How We Approached the Problem</w:t>
      </w:r>
    </w:p>
    <w:p>
      <w:pPr>
        <w:spacing w:line="276" w:lineRule="auto" w:after="80"/>
      </w:pPr>
      <w:r>
        <w:rPr>
          <w:color w:val="334155"/>
        </w:rPr>
        <w:t>Search behavior is fundamentally shifting from traditional search engines (ten blue links) to generative AI answer engines like ChatGPT Search, Perplexity, Google AI Overviews, and Gemini. Traditional SEO tools measure keyword rankings (#1 to #10) and backlink volume, which provides zero visibility into whether an AI model mentions, recommends, compares, or cites a brand.</w:t>
      </w:r>
    </w:p>
    <w:p>
      <w:pPr>
        <w:spacing w:line="276" w:lineRule="auto" w:after="80"/>
      </w:pPr>
      <w:r>
        <w:rPr>
          <w:color w:val="334155"/>
        </w:rPr>
        <w:t>We built PromptPulse (addressing Problem Statement A: GEO Prompt &amp; Brand Visibility Tracker) to track brand presence inside AI-generated answers through an end-to-end workflow:</w:t>
      </w:r>
    </w:p>
    <w:p>
      <w:pPr>
        <w:pStyle w:val="ListBullet"/>
        <w:spacing w:line="276" w:lineRule="auto" w:after="80"/>
      </w:pPr>
      <w:r>
        <w:rPr>
          <w:b/>
          <w:color w:val="0F172A"/>
        </w:rPr>
        <w:t>Brand-Agnostic Prompt Suites:</w:t>
      </w:r>
      <w:r>
        <w:rPr>
          <w:color w:val="334155"/>
        </w:rPr>
        <w:t xml:space="preserve"> We create non-branded consumer search queries (e.g., 'best free online graphic design tools' rather than 'Canva') to reflect how actual consumers ask questions without brand bias.</w:t>
      </w:r>
    </w:p>
    <w:p>
      <w:pPr>
        <w:pStyle w:val="ListBullet"/>
        <w:spacing w:line="276" w:lineRule="auto" w:after="80"/>
      </w:pPr>
      <w:r>
        <w:rPr>
          <w:b/>
          <w:color w:val="0F172A"/>
        </w:rPr>
        <w:t>Search-Grounded Inference:</w:t>
      </w:r>
      <w:r>
        <w:rPr>
          <w:color w:val="334155"/>
        </w:rPr>
        <w:t xml:space="preserve"> The system runs an autonomous ReAct loop where the model calls Tavily Search, evaluates live web results, synthesizes an answer, and tags factual claims with bracketed citations [X].</w:t>
      </w:r>
    </w:p>
    <w:p>
      <w:pPr>
        <w:pStyle w:val="ListBullet"/>
        <w:spacing w:line="276" w:lineRule="auto" w:after="80"/>
      </w:pPr>
      <w:r>
        <w:rPr>
          <w:b/>
          <w:color w:val="0F172A"/>
        </w:rPr>
        <w:t>Dual Extraction Pipeline:</w:t>
      </w:r>
      <w:r>
        <w:rPr>
          <w:color w:val="334155"/>
        </w:rPr>
        <w:t xml:space="preserve"> To prevent hallucinations, brand mentions are detected via word-boundary regex and Levenshtein typo matching (0.82 ratio). A secondary Pydantic-constrained LLM call extracts competitor brands and sentiment.</w:t>
      </w:r>
    </w:p>
    <w:p>
      <w:pPr>
        <w:pStyle w:val="ListBullet"/>
        <w:spacing w:line="276" w:lineRule="auto" w:after="80"/>
      </w:pPr>
      <w:r>
        <w:rPr>
          <w:b/>
          <w:color w:val="0F172A"/>
        </w:rPr>
        <w:t>Relational Persistence:</w:t>
      </w:r>
      <w:r>
        <w:rPr>
          <w:color w:val="334155"/>
        </w:rPr>
        <w:t xml:space="preserve"> Executions, cited URLs, search queries, mentions, and sentiment are stored relationally in Neon PostgreSQL and grouped by chronological batches.</w:t>
      </w:r>
    </w:p>
    <w:p>
      <w:pPr>
        <w:spacing w:before="280" w:after="80"/>
      </w:pPr>
      <w:r>
        <w:rPr>
          <w:b/>
          <w:color w:val="0F172A"/>
          <w:sz w:val="30"/>
        </w:rPr>
        <w:t>2. Current System Architecture</w:t>
      </w:r>
    </w:p>
    <w:p>
      <w:pPr>
        <w:spacing w:line="276" w:lineRule="auto" w:after="80"/>
      </w:pPr>
      <w:r>
        <w:rPr>
          <w:color w:val="334155"/>
        </w:rPr>
        <w:t>The current system consists of four primary components connected through defined contracts:</w:t>
      </w:r>
    </w:p>
    <w:p>
      <w:pPr>
        <w:pStyle w:val="ListBullet"/>
        <w:spacing w:line="276" w:lineRule="auto" w:after="80"/>
      </w:pPr>
      <w:r>
        <w:rPr>
          <w:b/>
          <w:color w:val="0F172A"/>
        </w:rPr>
        <w:t xml:space="preserve">1. Frontend Layer: </w:t>
      </w:r>
      <w:r>
        <w:rPr>
          <w:color w:val="334155"/>
        </w:rPr>
        <w:t xml:space="preserve"> Built with React 19, Vite, and Tailwind CSS. Provides project management, prompt suite creation, dynamic model selection (Groq open-source vs. OpenRouter), batch-first execution explorer, and optimistic deletions.</w:t>
      </w:r>
    </w:p>
    <w:p>
      <w:pPr>
        <w:pStyle w:val="ListBullet"/>
        <w:spacing w:line="276" w:lineRule="auto" w:after="80"/>
      </w:pPr>
      <w:r>
        <w:rPr>
          <w:b/>
          <w:color w:val="0F172A"/>
        </w:rPr>
        <w:t xml:space="preserve">2. Backend Service: </w:t>
      </w:r>
      <w:r>
        <w:rPr>
          <w:color w:val="334155"/>
        </w:rPr>
        <w:t xml:space="preserve"> Built with FastAPI and Pydantic v2. Exposes REST endpoints for project creation, prompt variant generation, batch execution dispatch, and historical reporting.</w:t>
      </w:r>
    </w:p>
    <w:p>
      <w:pPr>
        <w:pStyle w:val="ListBullet"/>
        <w:spacing w:line="276" w:lineRule="auto" w:after="80"/>
      </w:pPr>
      <w:r>
        <w:rPr>
          <w:b/>
          <w:color w:val="0F172A"/>
        </w:rPr>
        <w:t xml:space="preserve">3. Grounding &amp; AI Engine: </w:t>
      </w:r>
      <w:r>
        <w:rPr>
          <w:color w:val="334155"/>
        </w:rPr>
        <w:t xml:space="preserve"> Connects Tavily Search API for real-time web retrieval and routes LLM requests to OpenRouter (openai/gpt-4o-mini) and Groq (openai/gpt-oss-120b). Formats citations with [X] markers and closing manifests.</w:t>
      </w:r>
    </w:p>
    <w:p>
      <w:pPr>
        <w:pStyle w:val="ListBullet"/>
        <w:spacing w:line="276" w:lineRule="auto" w:after="80"/>
      </w:pPr>
      <w:r>
        <w:rPr>
          <w:b/>
          <w:color w:val="0F172A"/>
        </w:rPr>
        <w:t xml:space="preserve">4. Data Persistence: </w:t>
      </w:r>
      <w:r>
        <w:rPr>
          <w:color w:val="334155"/>
        </w:rPr>
        <w:t xml:space="preserve"> Serverless Neon PostgreSQL database storing normalized tables: projects, prompts, prompt_executions, web_search_results, brand_mentions, and execution_analyses.</w:t>
      </w:r>
    </w:p>
    <w:p>
      <w:pPr>
        <w:spacing w:before="280" w:after="80"/>
      </w:pPr>
      <w:r>
        <w:rPr>
          <w:b/>
          <w:color w:val="0F172A"/>
          <w:sz w:val="30"/>
        </w:rPr>
        <w:t>3. Real Breaking Points, Constraints &amp; Bottlenecks Discovered</w:t>
      </w:r>
    </w:p>
    <w:p>
      <w:pPr>
        <w:spacing w:line="276" w:lineRule="auto" w:after="80"/>
      </w:pPr>
      <w:r>
        <w:rPr>
          <w:color w:val="334155"/>
        </w:rPr>
        <w:t>During live implementation, testing, and evaluation, we discovered several critical engineering constraints, behavioral divergences, and operational bottlenecks:</w:t>
      </w:r>
    </w:p>
    <w:p>
      <w:pPr>
        <w:spacing w:before="200" w:after="60"/>
      </w:pPr>
      <w:r>
        <w:rPr>
          <w:b/>
          <w:color w:val="1E293B"/>
          <w:sz w:val="25"/>
        </w:rPr>
        <w:t>3.1 Data Volume &amp; Historical Baseline Limitations</w:t>
      </w:r>
    </w:p>
    <w:p>
      <w:pPr>
        <w:spacing w:line="276" w:lineRule="auto" w:after="80"/>
      </w:pPr>
      <w:r>
        <w:rPr>
          <w:color w:val="334155"/>
        </w:rPr>
        <w:t>Because the application was built recently, there is no historical baseline data. We cannot yet observe or predict month-over-month visibility drift or algorithm update impacts. Furthermore, our testing capacity is strictly limited to small batches of 5 to 10 prompts per run. Testing larger suites (e.g. 100+ prompts) is currently blocked by free-tier token allowances, rate limits, and latency.</w:t>
      </w:r>
    </w:p>
    <w:p>
      <w:pPr>
        <w:spacing w:before="200" w:after="60"/>
      </w:pPr>
      <w:r>
        <w:rPr>
          <w:b/>
          <w:color w:val="1E293B"/>
          <w:sz w:val="25"/>
        </w:rPr>
        <w:t>3.2 Multi-Model Tracking &amp; Observability Gaps</w:t>
      </w:r>
    </w:p>
    <w:p>
      <w:pPr>
        <w:spacing w:line="276" w:lineRule="auto" w:after="80"/>
      </w:pPr>
      <w:r>
        <w:rPr>
          <w:color w:val="334155"/>
        </w:rPr>
        <w:t>While multiple models are wired up in the UI dropdown, we are not yet running standardized, concurrent multi-model benchmarking. In a complete GEO setup, the exact same prompt suite should be executed simultaneously across ChatGPT, Gemini, Claude, and Perplexity to generate cross-engine comparative visibility scores. Additionally, prompts lack versioning (we cannot track how prompt wording edits impact model recall over time), and the system lacks structured trace logging and per-step latency telemetry.</w:t>
      </w:r>
    </w:p>
    <w:p>
      <w:pPr>
        <w:spacing w:before="200" w:after="60"/>
      </w:pPr>
      <w:r>
        <w:rPr>
          <w:b/>
          <w:color w:val="1E293B"/>
          <w:sz w:val="25"/>
        </w:rPr>
        <w:t>3.3 Free-Tier Token Depletion &amp; Concurrency Collapse</w:t>
      </w:r>
    </w:p>
    <w:p>
      <w:pPr>
        <w:spacing w:line="276" w:lineRule="auto" w:after="80"/>
      </w:pPr>
      <w:r>
        <w:rPr>
          <w:color w:val="334155"/>
        </w:rPr>
        <w:t>Each prompt execution consumes between 3,000 and 4,500 tokens across system instructions, injected web snippets, synthesized answers, and structured extraction. Our original architectural plan was to fan out 5 parallel worker threads via ThreadPoolExecutor so a 5-prompt batch would finish in ~10 seconds. However, because each worker chains multiple API calls (Tavily search + ReAct LLM + extraction LLM), 5 workers generated 15+ concurrent requests simultaneously. On free-tier and shared API tiers, this immediately triggered HTTP 429 (Rate Limit Exceeded) errors and socket crashes. To guarantee execution reliability, we were forced to defensively throttle concurrency down to sequential execution, increasing batch turnaround to ~45–60 seconds.</w:t>
      </w:r>
    </w:p>
    <w:p>
      <w:pPr>
        <w:spacing w:before="200" w:after="60"/>
      </w:pPr>
      <w:r>
        <w:rPr>
          <w:b/>
          <w:color w:val="1E293B"/>
          <w:sz w:val="25"/>
        </w:rPr>
        <w:t>3.4 Tavily Crawling Depth Limits</w:t>
      </w:r>
    </w:p>
    <w:p>
      <w:pPr>
        <w:spacing w:line="276" w:lineRule="auto" w:after="80"/>
      </w:pPr>
      <w:r>
        <w:rPr>
          <w:color w:val="334155"/>
        </w:rPr>
        <w:t>Tavily functions as an indexed snippet retrieval engine rather than a live recursive website crawler. For specialized B2B brands or agencies, critical service offerings, technical case studies, and perspectives are often nested 3 or 4 levels deep in the URL hierarchy. Tavily frequently misses these nested sub-pages and instead returns high-level directory aggregators (e.g. Tracxn, GoodFirms). Toggling search_depth from 'basic' to 'advanced' increased snippet length, but did not resolve the crawling depth limitation.</w:t>
      </w:r>
    </w:p>
    <w:p>
      <w:pPr>
        <w:spacing w:before="200" w:after="60"/>
      </w:pPr>
      <w:r>
        <w:rPr>
          <w:b/>
          <w:color w:val="1E293B"/>
          <w:sz w:val="25"/>
        </w:rPr>
        <w:t>3.5 The Mention vs. Citation Asymmetry Problem</w:t>
      </w:r>
    </w:p>
    <w:p>
      <w:pPr>
        <w:spacing w:line="276" w:lineRule="auto" w:after="80"/>
      </w:pPr>
      <w:r>
        <w:rPr>
          <w:color w:val="334155"/>
        </w:rPr>
        <w:t>Through empirical testing across different brands, we discovered a core divergence in generative AI behavior:</w:t>
        <w:br/>
        <w:t>• Pure Conceptual Prompts (e.g. 'difference between TCP and UDP'): Grounding search cites the target domain (e.g. geeksforgeeks.org), but the LLM explains the concept directly without writing the brand name (100% Citation, 0% Mention).</w:t>
        <w:br/>
        <w:t>• Tool Recommendation Prompts (e.g. 'best free graphic design tools'): The LLM names the brand (Canva) #1 in its answer text, but grounding search cites 3rd-party review listicles rather than the brand's own domain (100% Mention, 0% Domain Citation).</w:t>
        <w:br/>
        <w:t>Conclusion: Tracking true GEO visibility requires categorizing queries into informational vs. commercial intent to understand where a brand is losing presence.</w:t>
      </w:r>
    </w:p>
    <w:p>
      <w:pPr>
        <w:spacing w:before="280" w:after="80"/>
      </w:pPr>
      <w:r>
        <w:rPr>
          <w:b/>
          <w:color w:val="0F172A"/>
          <w:sz w:val="30"/>
        </w:rPr>
        <w:t>4. Codebase Technical Debt &amp; Architectural Bottlenecks</w:t>
      </w:r>
    </w:p>
    <w:p>
      <w:pPr>
        <w:spacing w:line="276" w:lineRule="auto" w:after="80"/>
      </w:pPr>
      <w:r>
        <w:rPr>
          <w:color w:val="334155"/>
        </w:rPr>
        <w:t>An honest assessment of our current codebase reveals specific technical debt and architecture issues that must be refactored before scaling:</w:t>
      </w:r>
    </w:p>
    <w:p>
      <w:pPr>
        <w:spacing w:before="200" w:after="60"/>
      </w:pPr>
      <w:r>
        <w:rPr>
          <w:b/>
          <w:color w:val="1E293B"/>
          <w:sz w:val="25"/>
        </w:rPr>
        <w:t>4.1 Heavy Application-Side Computing in /projects/{id}/summary</w:t>
      </w:r>
    </w:p>
    <w:p>
      <w:pPr>
        <w:spacing w:line="276" w:lineRule="auto" w:after="80"/>
      </w:pPr>
      <w:r>
        <w:rPr>
          <w:color w:val="334155"/>
        </w:rPr>
        <w:t>Our summary endpoint (/projects/{id}/summary) currently loads every single execution record for a project from PostgreSQL into Python memory. The server then iterates over all executions in Python to compute visibility percentages, domain retrieval counts, citation rates, and sentiment distributions. While fast for 10 runs, this approach will degrade severely at 1,000+ executions. This computing must be shifted to SQL aggregation queries, database views, or pre-computed rollups.</w:t>
      </w:r>
    </w:p>
    <w:p>
      <w:pPr>
        <w:spacing w:before="200" w:after="60"/>
      </w:pPr>
      <w:r>
        <w:rPr>
          <w:b/>
          <w:color w:val="1E293B"/>
          <w:sz w:val="25"/>
        </w:rPr>
        <w:t>4.2 The N+1 Database Query Problem</w:t>
      </w:r>
    </w:p>
    <w:p>
      <w:pPr>
        <w:spacing w:line="276" w:lineRule="auto" w:after="80"/>
      </w:pPr>
      <w:r>
        <w:rPr>
          <w:color w:val="334155"/>
        </w:rPr>
        <w:t>In our results endpoint, fetching a project's executions triggers chained lazy loading across multiple relationships: prompts, search_queries, web_search_results, brand_mentions, and execution_analyses. Instead of executing a single optimized query with SQL JOINs, the application executes 1 initial query + N queries for prompts + N queries for search results + N queries for mentions. This creates unnecessary database connection overhead and network roundtrips to Neon PostgreSQL.</w:t>
      </w:r>
    </w:p>
    <w:p>
      <w:pPr>
        <w:spacing w:before="200" w:after="60"/>
      </w:pPr>
      <w:r>
        <w:rPr>
          <w:b/>
          <w:color w:val="1E293B"/>
          <w:sz w:val="25"/>
        </w:rPr>
        <w:t>4.3 Monolithic Endpoints &amp; Over-Fetching</w:t>
      </w:r>
    </w:p>
    <w:p>
      <w:pPr>
        <w:spacing w:line="276" w:lineRule="auto" w:after="80"/>
      </w:pPr>
      <w:r>
        <w:rPr>
          <w:color w:val="334155"/>
        </w:rPr>
        <w:t>Several API endpoints currently return bloated payloads containing 10 different types of data at once. The system needs granular, purpose-built endpoints so the frontend only fetches the exact slice of data needed for the active view.</w:t>
      </w:r>
    </w:p>
    <w:p>
      <w:pPr>
        <w:spacing w:before="200" w:after="60"/>
      </w:pPr>
      <w:r>
        <w:rPr>
          <w:b/>
          <w:color w:val="1E293B"/>
          <w:sz w:val="25"/>
        </w:rPr>
        <w:t>4.4 Frontend Monolith (App.jsx) &amp; Generic Routing</w:t>
      </w:r>
    </w:p>
    <w:p>
      <w:pPr>
        <w:spacing w:line="276" w:lineRule="auto" w:after="80"/>
      </w:pPr>
      <w:r>
        <w:rPr>
          <w:color w:val="334155"/>
        </w:rPr>
        <w:t>Currently, App.jsx handles state management, API data fetching, modal toggles, polling, and view rendering in a single large file. It needs to be refactored into modular custom hooks and focused components. Furthermore, the application uses a generic /dashboard route for all views. Routing must be made project-specific (e.g., /dashboard/:projectId or /projects/:projectId) to allow bookmarking, deep-linking, and cleaner state synchronization.</w:t>
      </w:r>
    </w:p>
    <w:p>
      <w:pPr>
        <w:spacing w:before="280" w:after="80"/>
      </w:pPr>
      <w:r>
        <w:rPr>
          <w:b/>
          <w:color w:val="0F172A"/>
          <w:sz w:val="30"/>
        </w:rPr>
        <w:t>5. What We Learned (SEO &amp; GEO Insights)</w:t>
      </w:r>
    </w:p>
    <w:p>
      <w:pPr>
        <w:spacing w:line="276" w:lineRule="auto" w:after="80"/>
      </w:pPr>
      <w:r>
        <w:rPr>
          <w:color w:val="334155"/>
        </w:rPr>
        <w:t>1. Traditional SEO vs. Generative Engine Optimization (GEO): Traditional SEO optimizes for Googlebot crawlers, keyword density, and blue link rankings (#1–#10). GEO optimizes for probabilistic LLM knowledge synthesis, entity relationships, and Share of Model (SoM).</w:t>
        <w:br/>
        <w:br/>
        <w:t>2. Zero-Click Search Defense: AI Overviews answer user questions directly on the search results page, leading to significant declines in organic website click-through rates. GEO is a defensive discipline: ensuring a brand is credited and recommended directly inside the synthesized AI answer itself.</w:t>
        <w:br/>
        <w:br/>
        <w:t>3. Entity Salience Over Keywords: Large language models do not match keywords; they retrieve entities based on vector proximity in knowledge graphs. A brand must have dense semantic association with its category across authoritative digital corpora to appear in non-branded queries.</w:t>
        <w:br/>
        <w:br/>
        <w:t>4. Information Gain and Quotability Win Citations: Search retrieval engines powering AI answers prioritize content with high fact density—such as structured comparison tables, verified statistics, and direct definitions—over generic marketing prose.</w:t>
      </w:r>
    </w:p>
    <w:p>
      <w:pPr>
        <w:spacing w:before="280" w:after="80"/>
      </w:pPr>
      <w:r>
        <w:rPr>
          <w:b/>
          <w:color w:val="0F172A"/>
          <w:sz w:val="30"/>
        </w:rPr>
        <w:t>6. Future Implementation Plan &amp; Technical Roadmap</w:t>
      </w:r>
    </w:p>
    <w:p>
      <w:pPr>
        <w:spacing w:line="276" w:lineRule="auto" w:after="80"/>
      </w:pPr>
      <w:r>
        <w:rPr>
          <w:color w:val="334155"/>
        </w:rPr>
        <w:t>To evolve PromptPulse from a working POC into a production-grade monitoring platform, our engineering roadmap focuses on six key initiatives:</w:t>
      </w:r>
    </w:p>
    <w:p>
      <w:pPr>
        <w:pStyle w:val="ListBullet"/>
        <w:spacing w:line="276" w:lineRule="auto" w:after="80"/>
      </w:pPr>
      <w:r>
        <w:rPr>
          <w:b/>
          <w:color w:val="0F172A"/>
        </w:rPr>
        <w:t>1. Database Optimization &amp; Eager Loading:</w:t>
      </w:r>
      <w:r>
        <w:rPr>
          <w:color w:val="334155"/>
        </w:rPr>
        <w:t xml:space="preserve"> Eliminate the N+1 query problem in backend/app/api/results.py by using SQLAlchemy joinedload and selectinload to fetch executions, prompts, and citations in a single database roundtrip.</w:t>
      </w:r>
    </w:p>
    <w:p>
      <w:pPr>
        <w:pStyle w:val="ListBullet"/>
        <w:spacing w:line="276" w:lineRule="auto" w:after="80"/>
      </w:pPr>
      <w:r>
        <w:rPr>
          <w:b/>
          <w:color w:val="0F172A"/>
        </w:rPr>
        <w:t>2. Redis Caching Layer:</w:t>
      </w:r>
      <w:r>
        <w:rPr>
          <w:color w:val="334155"/>
        </w:rPr>
        <w:t xml:space="preserve"> Implement Redis caching for project summary endpoints, citation audit tables, and API rate-limiting counters. Summary metrics will be updated via cached rollups rather than recomputed across all rows on every page load.</w:t>
      </w:r>
    </w:p>
    <w:p>
      <w:pPr>
        <w:pStyle w:val="ListBullet"/>
        <w:spacing w:line="276" w:lineRule="auto" w:after="80"/>
      </w:pPr>
      <w:r>
        <w:rPr>
          <w:b/>
          <w:color w:val="0F172A"/>
        </w:rPr>
        <w:t>3. Distributed Worker Architecture (Celery + Redis):</w:t>
      </w:r>
      <w:r>
        <w:rPr>
          <w:color w:val="334155"/>
        </w:rPr>
        <w:t xml:space="preserve"> Replace in-process ThreadPoolExecutor with Celery and Redis worker queues. This enables scheduled background batch runs (e.g. 500 prompts nightly per client) with token-bucket rate limiters.</w:t>
      </w:r>
    </w:p>
    <w:p>
      <w:pPr>
        <w:pStyle w:val="ListBullet"/>
        <w:spacing w:line="276" w:lineRule="auto" w:after="80"/>
      </w:pPr>
      <w:r>
        <w:rPr>
          <w:b/>
          <w:color w:val="0F172A"/>
        </w:rPr>
        <w:t>4. Deep Recursive Web Crawler:</w:t>
      </w:r>
      <w:r>
        <w:rPr>
          <w:color w:val="334155"/>
        </w:rPr>
        <w:t xml:space="preserve"> Complement Tavily search with a dedicated headless browser crawler (Playwright / Crawl4AI) capable of crawling 4 levels deep into client websites to index nested service pages and case studies.</w:t>
      </w:r>
    </w:p>
    <w:p>
      <w:pPr>
        <w:pStyle w:val="ListBullet"/>
        <w:spacing w:line="276" w:lineRule="auto" w:after="80"/>
      </w:pPr>
      <w:r>
        <w:rPr>
          <w:b/>
          <w:color w:val="0F172A"/>
        </w:rPr>
        <w:t>5. Frontend Modularization &amp; RESTful Routing:</w:t>
      </w:r>
      <w:r>
        <w:rPr>
          <w:color w:val="334155"/>
        </w:rPr>
        <w:t xml:space="preserve"> Split App.jsx into dedicated custom hooks (useProjects, useRuns, useBatchExecution) and implement React Router with project-specific URLs (/projects/:projectId).</w:t>
      </w:r>
    </w:p>
    <w:p>
      <w:pPr>
        <w:pStyle w:val="ListBullet"/>
        <w:spacing w:line="276" w:lineRule="auto" w:after="80"/>
      </w:pPr>
      <w:r>
        <w:rPr>
          <w:b/>
          <w:color w:val="0F172A"/>
        </w:rPr>
        <w:t>6. Multi-Model Benchmarking Matrix:</w:t>
      </w:r>
      <w:r>
        <w:rPr>
          <w:color w:val="334155"/>
        </w:rPr>
        <w:t xml:space="preserve"> Build a benchmarking engine that executes the same prompt suite concurrently across OpenAI GPT-4o Search, Google Gemini 1.5 Pro, Anthropic Claude 3.5, and Perplexity to generate cross-engine visibility comparisons.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