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color w:val="0F172A"/>
          <w:sz w:val="36"/>
        </w:rPr>
        <w:t>PromptPulse: GEO &amp; AI Brand Visibility Tracker</w:t>
      </w:r>
    </w:p>
    <w:p>
      <w:pPr>
        <w:spacing w:before="0" w:after="240"/>
      </w:pPr>
      <w:r>
        <w:rPr>
          <w:color w:val="475569"/>
          <w:sz w:val="22"/>
        </w:rPr>
        <w:t>POC Approach, Architecture, Breaking Points, Bottlenecks &amp; SEO/GEO Learnings</w:t>
      </w:r>
    </w:p>
    <w:p>
      <w:pPr>
        <w:pStyle w:val="Heading1"/>
      </w:pPr>
      <w:r>
        <w:t>1. How We Approached the Problem</w:t>
      </w:r>
    </w:p>
    <w:p>
      <w:pPr>
        <w:spacing w:after="80"/>
      </w:pPr>
      <w:r>
        <w:t>Search behavior is fundamentally shifting from traditional search engines (ten blue links) to generative answer engines (ChatGPT Search, Perplexity, Google AI Overviews, Gemini). Traditional SEO tools measure keyword ranks and backlink counts, leaving digital marketers blind to whether an AI actually recommends, critiques, or cites their brand.</w:t>
      </w:r>
    </w:p>
    <w:p>
      <w:pPr>
        <w:spacing w:after="120"/>
      </w:pPr>
      <w:r>
        <w:t>We selected Problem Statement A (GEO Prompt &amp; Brand Visibility Tracker) and approached it through an end-to-end 4-step workflow:</w:t>
        <w:br/>
        <w:t>1. Brand-Agnostic Prompt Suites: Designed prompts that reflect natural, non-branded consumer queries (e.g., 'best free online graphic design tools').</w:t>
        <w:br/>
        <w:t>2. Grounded Multi-Step AI Agent: Implemented an autonomous ReAct loop where the LLM queries Tavily Web Search, reviews live results, and writes synthesized answers with inline bracket citations [X].</w:t>
        <w:br/>
        <w:t>3. Hybrid Verification Engine: Combined deterministic regex with Levenshtein fuzzy matching (&gt;= 0.82) to eliminate hallucinated brand mentions, followed by structured Pydantic LLM extraction for competitor discovery and sentiment.</w:t>
        <w:br/>
        <w:t>4. Versioned Batch Tracking: Implemented chronological batch execution and relational persistence to observe visibility changes over time.</w:t>
      </w:r>
    </w:p>
    <w:p>
      <w:pPr>
        <w:pStyle w:val="Heading1"/>
      </w:pPr>
      <w:r>
        <w:t>2. System Architecture</w:t>
      </w:r>
    </w:p>
    <w:tbl>
      <w:tblPr>
        <w:tblW w:type="auto" w:w="0"/>
        <w:jc w:val="center"/>
        <w:tblLook w:firstColumn="1" w:firstRow="1" w:lastColumn="0" w:lastRow="0" w:noHBand="0" w:noVBand="1" w:val="04A0"/>
      </w:tblPr>
      <w:tblGrid>
        <w:gridCol w:w="9936"/>
      </w:tblGrid>
      <w:tr>
        <w:tc>
          <w:tcPr>
            <w:tcW w:type="dxa" w:w="9936"/>
            <w:shd w:fill="F8FAFC"/>
            <w:tcMar>
              <w:top w:w="100" w:type="dxa"/>
              <w:bottom w:w="100" w:type="dxa"/>
              <w:left w:w="160" w:type="dxa"/>
              <w:right w:w="160" w:type="dxa"/>
            </w:tcMar>
            <w:tcBorders>
              <w:left w:val="single" w:sz="18" w:space="0" w:color="2563EB"/>
              <w:top w:val="single" w:sz="6" w:space="0" w:color="CBD5E1"/>
              <w:right w:val="single" w:sz="6" w:space="0" w:color="CBD5E1"/>
              <w:bottom w:val="single" w:sz="6" w:space="0" w:color="CBD5E1"/>
            </w:tcBorders>
          </w:tcPr>
          <w:p>
            <w:pPr>
              <w:spacing w:before="0" w:after="40"/>
            </w:pPr>
            <w:r>
              <w:rPr>
                <w:b/>
                <w:color w:val="0F172A"/>
                <w:sz w:val="21"/>
              </w:rPr>
              <w:t>Frontend Layer (React 19 + Vite + Tailwind CSS)</w:t>
            </w:r>
          </w:p>
          <w:p>
            <w:pPr>
              <w:spacing w:before="20" w:after="20"/>
            </w:pPr>
            <w:r>
              <w:rPr>
                <w:b/>
                <w:color w:val="2563EB"/>
              </w:rPr>
              <w:t xml:space="preserve">▸ </w:t>
            </w:r>
            <w:r>
              <w:rPr>
                <w:color w:val="334155"/>
                <w:sz w:val="19"/>
              </w:rPr>
              <w:t>Prompt suite creation, project switcher, and dynamic model selector (Groq / OpenRouter)</w:t>
            </w:r>
          </w:p>
          <w:p>
            <w:pPr>
              <w:spacing w:before="20" w:after="20"/>
            </w:pPr>
            <w:r>
              <w:rPr>
                <w:b/>
                <w:color w:val="2563EB"/>
              </w:rPr>
              <w:t xml:space="preserve">▸ </w:t>
            </w:r>
            <w:r>
              <w:rPr>
                <w:color w:val="334155"/>
                <w:sz w:val="19"/>
              </w:rPr>
              <w:t>Batch-first view with rectangular badge identifiers and fixed-width tables (zero scrollbars)</w:t>
            </w:r>
          </w:p>
          <w:p>
            <w:pPr>
              <w:spacing w:before="20" w:after="20"/>
            </w:pPr>
            <w:r>
              <w:rPr>
                <w:b/>
                <w:color w:val="2563EB"/>
              </w:rPr>
              <w:t xml:space="preserve">▸ </w:t>
            </w:r>
            <w:r>
              <w:rPr>
                <w:color w:val="334155"/>
                <w:sz w:val="19"/>
              </w:rPr>
              <w:t>Optimistic state updates: instant 0ms UI deletion with background API synchronization</w:t>
            </w:r>
          </w:p>
        </w:tc>
      </w:tr>
    </w:tbl>
    <w:p>
      <w:pPr>
        <w:spacing w:before="40" w:after="40"/>
        <w:jc w:val="center"/>
      </w:pPr>
      <w:r>
        <w:rPr>
          <w:color w:val="94A3B8"/>
          <w:sz w:val="18"/>
        </w:rPr>
        <w:t>▼</w:t>
      </w:r>
    </w:p>
    <w:tbl>
      <w:tblPr>
        <w:tblW w:type="auto" w:w="0"/>
        <w:jc w:val="center"/>
        <w:tblLook w:firstColumn="1" w:firstRow="1" w:lastColumn="0" w:lastRow="0" w:noHBand="0" w:noVBand="1" w:val="04A0"/>
      </w:tblPr>
      <w:tblGrid>
        <w:gridCol w:w="9936"/>
      </w:tblGrid>
      <w:tr>
        <w:tc>
          <w:tcPr>
            <w:tcW w:type="dxa" w:w="9936"/>
            <w:shd w:fill="F8FAFC"/>
            <w:tcMar>
              <w:top w:w="100" w:type="dxa"/>
              <w:bottom w:w="100" w:type="dxa"/>
              <w:left w:w="160" w:type="dxa"/>
              <w:right w:w="160" w:type="dxa"/>
            </w:tcMar>
            <w:tcBorders>
              <w:left w:val="single" w:sz="18" w:space="0" w:color="2563EB"/>
              <w:top w:val="single" w:sz="6" w:space="0" w:color="CBD5E1"/>
              <w:right w:val="single" w:sz="6" w:space="0" w:color="CBD5E1"/>
              <w:bottom w:val="single" w:sz="6" w:space="0" w:color="CBD5E1"/>
            </w:tcBorders>
          </w:tcPr>
          <w:p>
            <w:pPr>
              <w:spacing w:before="0" w:after="40"/>
            </w:pPr>
            <w:r>
              <w:rPr>
                <w:b/>
                <w:color w:val="0F172A"/>
                <w:sz w:val="21"/>
              </w:rPr>
              <w:t>Application &amp; API Layer (FastAPI + Pydantic v2)</w:t>
            </w:r>
          </w:p>
          <w:p>
            <w:pPr>
              <w:spacing w:before="20" w:after="20"/>
            </w:pPr>
            <w:r>
              <w:rPr>
                <w:b/>
                <w:color w:val="2563EB"/>
              </w:rPr>
              <w:t xml:space="preserve">▸ </w:t>
            </w:r>
            <w:r>
              <w:rPr>
                <w:color w:val="334155"/>
                <w:sz w:val="19"/>
              </w:rPr>
              <w:t>REST endpoints (/projects, /prompts, /runs, /results) enforcing strict data contracts</w:t>
            </w:r>
          </w:p>
          <w:p>
            <w:pPr>
              <w:spacing w:before="20" w:after="20"/>
            </w:pPr>
            <w:r>
              <w:rPr>
                <w:b/>
                <w:color w:val="2563EB"/>
              </w:rPr>
              <w:t xml:space="preserve">▸ </w:t>
            </w:r>
            <w:r>
              <w:rPr>
                <w:color w:val="334155"/>
                <w:sz w:val="19"/>
              </w:rPr>
              <w:t>Orchestration service coordinating prompt runs and batch executions</w:t>
            </w:r>
          </w:p>
        </w:tc>
      </w:tr>
    </w:tbl>
    <w:p>
      <w:pPr>
        <w:spacing w:before="40" w:after="40"/>
        <w:jc w:val="center"/>
      </w:pPr>
      <w:r>
        <w:rPr>
          <w:color w:val="94A3B8"/>
          <w:sz w:val="18"/>
        </w:rPr>
        <w:t>▼</w:t>
      </w:r>
    </w:p>
    <w:tbl>
      <w:tblPr>
        <w:tblW w:type="auto" w:w="0"/>
        <w:jc w:val="center"/>
        <w:tblLook w:firstColumn="1" w:firstRow="1" w:lastColumn="0" w:lastRow="0" w:noHBand="0" w:noVBand="1" w:val="04A0"/>
      </w:tblPr>
      <w:tblGrid>
        <w:gridCol w:w="9936"/>
      </w:tblGrid>
      <w:tr>
        <w:tc>
          <w:tcPr>
            <w:tcW w:type="dxa" w:w="9936"/>
            <w:shd w:fill="F8FAFC"/>
            <w:tcMar>
              <w:top w:w="100" w:type="dxa"/>
              <w:bottom w:w="100" w:type="dxa"/>
              <w:left w:w="160" w:type="dxa"/>
              <w:right w:w="160" w:type="dxa"/>
            </w:tcMar>
            <w:tcBorders>
              <w:left w:val="single" w:sz="18" w:space="0" w:color="2563EB"/>
              <w:top w:val="single" w:sz="6" w:space="0" w:color="CBD5E1"/>
              <w:right w:val="single" w:sz="6" w:space="0" w:color="CBD5E1"/>
              <w:bottom w:val="single" w:sz="6" w:space="0" w:color="CBD5E1"/>
            </w:tcBorders>
          </w:tcPr>
          <w:p>
            <w:pPr>
              <w:spacing w:before="0" w:after="40"/>
            </w:pPr>
            <w:r>
              <w:rPr>
                <w:b/>
                <w:color w:val="0F172A"/>
                <w:sz w:val="21"/>
              </w:rPr>
              <w:t>Execution &amp; Grounding Layer (Tavily Search + Multi-LLM)</w:t>
            </w:r>
          </w:p>
          <w:p>
            <w:pPr>
              <w:spacing w:before="20" w:after="20"/>
            </w:pPr>
            <w:r>
              <w:rPr>
                <w:b/>
                <w:color w:val="2563EB"/>
              </w:rPr>
              <w:t xml:space="preserve">▸ </w:t>
            </w:r>
            <w:r>
              <w:rPr>
                <w:color w:val="334155"/>
                <w:sz w:val="19"/>
              </w:rPr>
              <w:t>ReAct agent loop triggering Tavily Web Search for real-time fact retrieval</w:t>
            </w:r>
          </w:p>
          <w:p>
            <w:pPr>
              <w:spacing w:before="20" w:after="20"/>
            </w:pPr>
            <w:r>
              <w:rPr>
                <w:b/>
                <w:color w:val="2563EB"/>
              </w:rPr>
              <w:t xml:space="preserve">▸ </w:t>
            </w:r>
            <w:r>
              <w:rPr>
                <w:color w:val="334155"/>
                <w:sz w:val="19"/>
              </w:rPr>
              <w:t>Dual-provider LLM support: Groq (ultra-fast inference) and OpenRouter (frontier models)</w:t>
            </w:r>
          </w:p>
          <w:p>
            <w:pPr>
              <w:spacing w:before="20" w:after="20"/>
            </w:pPr>
            <w:r>
              <w:rPr>
                <w:b/>
                <w:color w:val="2563EB"/>
              </w:rPr>
              <w:t xml:space="preserve">▸ </w:t>
            </w:r>
            <w:r>
              <w:rPr>
                <w:color w:val="334155"/>
                <w:sz w:val="19"/>
              </w:rPr>
              <w:t>Automated citation formatter enforcing inline [X] markers and closing 'CITED: 1, 2' manifests</w:t>
            </w:r>
          </w:p>
        </w:tc>
      </w:tr>
    </w:tbl>
    <w:p>
      <w:pPr>
        <w:spacing w:before="40" w:after="40"/>
        <w:jc w:val="center"/>
      </w:pPr>
      <w:r>
        <w:rPr>
          <w:color w:val="94A3B8"/>
          <w:sz w:val="18"/>
        </w:rPr>
        <w:t>▼</w:t>
      </w:r>
    </w:p>
    <w:tbl>
      <w:tblPr>
        <w:tblW w:type="auto" w:w="0"/>
        <w:jc w:val="center"/>
        <w:tblLook w:firstColumn="1" w:firstRow="1" w:lastColumn="0" w:lastRow="0" w:noHBand="0" w:noVBand="1" w:val="04A0"/>
      </w:tblPr>
      <w:tblGrid>
        <w:gridCol w:w="9936"/>
      </w:tblGrid>
      <w:tr>
        <w:tc>
          <w:tcPr>
            <w:tcW w:type="dxa" w:w="9936"/>
            <w:shd w:fill="F8FAFC"/>
            <w:tcMar>
              <w:top w:w="100" w:type="dxa"/>
              <w:bottom w:w="100" w:type="dxa"/>
              <w:left w:w="160" w:type="dxa"/>
              <w:right w:w="160" w:type="dxa"/>
            </w:tcMar>
            <w:tcBorders>
              <w:left w:val="single" w:sz="18" w:space="0" w:color="2563EB"/>
              <w:top w:val="single" w:sz="6" w:space="0" w:color="CBD5E1"/>
              <w:right w:val="single" w:sz="6" w:space="0" w:color="CBD5E1"/>
              <w:bottom w:val="single" w:sz="6" w:space="0" w:color="CBD5E1"/>
            </w:tcBorders>
          </w:tcPr>
          <w:p>
            <w:pPr>
              <w:spacing w:before="0" w:after="40"/>
            </w:pPr>
            <w:r>
              <w:rPr>
                <w:b/>
                <w:color w:val="0F172A"/>
                <w:sz w:val="21"/>
              </w:rPr>
              <w:t>Hybrid Extraction Layer (Deterministic + Structured LLM)</w:t>
            </w:r>
          </w:p>
          <w:p>
            <w:pPr>
              <w:spacing w:before="20" w:after="20"/>
            </w:pPr>
            <w:r>
              <w:rPr>
                <w:b/>
                <w:color w:val="2563EB"/>
              </w:rPr>
              <w:t xml:space="preserve">▸ </w:t>
            </w:r>
            <w:r>
              <w:rPr>
                <w:color w:val="334155"/>
                <w:sz w:val="19"/>
              </w:rPr>
              <w:t>Deterministic matcher: Regex word boundaries (\bbrand\b) + typo distance ratio (0.82)</w:t>
            </w:r>
          </w:p>
          <w:p>
            <w:pPr>
              <w:spacing w:before="20" w:after="20"/>
            </w:pPr>
            <w:r>
              <w:rPr>
                <w:b/>
                <w:color w:val="2563EB"/>
              </w:rPr>
              <w:t xml:space="preserve">▸ </w:t>
            </w:r>
            <w:r>
              <w:rPr>
                <w:color w:val="334155"/>
                <w:sz w:val="19"/>
              </w:rPr>
              <w:t>Structured extractor: Pydantic schemas parsing competitor lists, sentiment, and remarks</w:t>
            </w:r>
          </w:p>
        </w:tc>
      </w:tr>
    </w:tbl>
    <w:p>
      <w:pPr>
        <w:spacing w:before="40" w:after="40"/>
        <w:jc w:val="center"/>
      </w:pPr>
      <w:r>
        <w:rPr>
          <w:color w:val="94A3B8"/>
          <w:sz w:val="18"/>
        </w:rPr>
        <w:t>▼</w:t>
      </w:r>
    </w:p>
    <w:tbl>
      <w:tblPr>
        <w:tblW w:type="auto" w:w="0"/>
        <w:jc w:val="center"/>
        <w:tblLook w:firstColumn="1" w:firstRow="1" w:lastColumn="0" w:lastRow="0" w:noHBand="0" w:noVBand="1" w:val="04A0"/>
      </w:tblPr>
      <w:tblGrid>
        <w:gridCol w:w="9936"/>
      </w:tblGrid>
      <w:tr>
        <w:tc>
          <w:tcPr>
            <w:tcW w:type="dxa" w:w="9936"/>
            <w:shd w:fill="F8FAFC"/>
            <w:tcMar>
              <w:top w:w="100" w:type="dxa"/>
              <w:bottom w:w="100" w:type="dxa"/>
              <w:left w:w="160" w:type="dxa"/>
              <w:right w:w="160" w:type="dxa"/>
            </w:tcMar>
            <w:tcBorders>
              <w:left w:val="single" w:sz="18" w:space="0" w:color="2563EB"/>
              <w:top w:val="single" w:sz="6" w:space="0" w:color="CBD5E1"/>
              <w:right w:val="single" w:sz="6" w:space="0" w:color="CBD5E1"/>
              <w:bottom w:val="single" w:sz="6" w:space="0" w:color="CBD5E1"/>
            </w:tcBorders>
          </w:tcPr>
          <w:p>
            <w:pPr>
              <w:spacing w:before="0" w:after="40"/>
            </w:pPr>
            <w:r>
              <w:rPr>
                <w:b/>
                <w:color w:val="0F172A"/>
                <w:sz w:val="21"/>
              </w:rPr>
              <w:t>Persistence Layer (Neon Serverless PostgreSQL)</w:t>
            </w:r>
          </w:p>
          <w:p>
            <w:pPr>
              <w:spacing w:before="20" w:after="20"/>
            </w:pPr>
            <w:r>
              <w:rPr>
                <w:b/>
                <w:color w:val="2563EB"/>
              </w:rPr>
              <w:t xml:space="preserve">▸ </w:t>
            </w:r>
            <w:r>
              <w:rPr>
                <w:color w:val="334155"/>
                <w:sz w:val="19"/>
              </w:rPr>
              <w:t>Normalized relational models: projects, prompts, prompt_executions, web_search_results, brand_mentions, and execution_analyses</w:t>
            </w:r>
          </w:p>
        </w:tc>
      </w:tr>
    </w:tbl>
    <w:p>
      <w:pPr>
        <w:spacing w:after="80"/>
      </w:pPr>
    </w:p>
    <w:p>
      <w:pPr>
        <w:pStyle w:val="Heading1"/>
      </w:pPr>
      <w:r>
        <w:t>3. Plans &amp; Future Pathway</w:t>
      </w:r>
    </w:p>
    <w:p>
      <w:pPr>
        <w:spacing w:after="120"/>
      </w:pPr>
      <w:r>
        <w:t>• Distributed Background Workers (Celery + Redis): Transition from in-process thread pooling to a robust distributed task queue to handle scheduled client monitoring suites (1,000+ prompts nightly).</w:t>
        <w:br/>
        <w:t>• Deep Recursive Crawler (Playwright / Crawl4AI): Pair Tavily search with a dedicated headless crawler capable of traversing client sites 4 to 5 levels deep to map internal links and nested blog hierarchies.</w:t>
        <w:br/>
        <w:t>• Cross-Model Benchmarking Matrix: Concurrently execute prompt suites across OpenAI GPT-4o Search, Google Gemini 1.5 Pro, and Perplexity Sonar to track cross-engine visibility discrepancies.</w:t>
        <w:br/>
        <w:t>• Automated Remediation Agent: Automatically generate actionable content briefs when a brand has 0% mentions on high-intent queries, recommending what data tables and statistics to publish to win citations.</w:t>
      </w:r>
    </w:p>
    <w:p>
      <w:pPr>
        <w:pStyle w:val="Heading1"/>
      </w:pPr>
      <w:r>
        <w:t>4. Breaking Points &amp; Bottlenecks Discovered</w:t>
      </w:r>
    </w:p>
    <w:p>
      <w:pPr>
        <w:pStyle w:val="Heading2"/>
      </w:pPr>
      <w:r>
        <w:t>4.1 Free-Tier Token Limits &amp; Quota Exhaustion</w:t>
      </w:r>
    </w:p>
    <w:p>
      <w:pPr>
        <w:spacing w:after="60"/>
      </w:pPr>
      <w:r>
        <w:t>A single prompt run consumes 3,000 to 4,500 tokens across system instructions, injected search snippets, synthesized answers, and structured extraction. On free-tier API endpoints (OpenRouter/Groq), executing batches of 5 to 10 prompts rapidly exhausted tokens and triggered HTTP 429 (Rate Limit Exceeded) errors. We mitigated this using tenacity exponential backoff retries and dynamic switching to Groq's high-throughput open-source models.</w:t>
      </w:r>
    </w:p>
    <w:p>
      <w:pPr>
        <w:pStyle w:val="Heading2"/>
      </w:pPr>
      <w:r>
        <w:t>4.2 Concurrency Collapse: 5-Worker Fan-Out vs. Sequential Fallback</w:t>
      </w:r>
    </w:p>
    <w:p>
      <w:pPr>
        <w:spacing w:after="60"/>
      </w:pPr>
      <w:r>
        <w:t>Our original plan was to fan out 5 parallel worker threads via ThreadPoolExecutor so a 5-prompt batch would finish in ~10 seconds. However, because each worker chains multiple API calls (Tavily search + ReAct LLM + extraction LLM), 5 parallel workers generated 15+ concurrent requests simultaneously. This spiked API rate limits and caused socket failures. To ensure rock-solid stability, we defensively throttled concurrency down to sequential/serialized execution, eliminating crashes but increasing batch run duration to ~45–60 seconds.</w:t>
      </w:r>
    </w:p>
    <w:p>
      <w:pPr>
        <w:pStyle w:val="Heading2"/>
      </w:pPr>
      <w:r>
        <w:t>4.3 Tavily Crawling Depth Limits</w:t>
      </w:r>
    </w:p>
    <w:p>
      <w:pPr>
        <w:spacing w:after="60"/>
      </w:pPr>
      <w:r>
        <w:t>Tavily functions as an indexed snippet retrieval tool rather than a recursive crawler. For niche B2B or agency domains, key case studies and technical articles are often nested 3 or 4 levels deep in the URL hierarchy. Tavily frequently misses these deep sub-pages and instead returns generic high-level directory aggregators. Toggling search_depth to 'advanced' increased snippet length but did not resolve the crawl depth limitation.</w:t>
      </w:r>
    </w:p>
    <w:p>
      <w:pPr>
        <w:pStyle w:val="Heading2"/>
      </w:pPr>
      <w:r>
        <w:t>4.4 The Mention vs. Citation Asymmetry Problem</w:t>
      </w:r>
    </w:p>
    <w:p>
      <w:pPr>
        <w:spacing w:after="60"/>
      </w:pPr>
      <w:r>
        <w:t>Empirical testing revealed a core divergence in generative AI behavior:</w:t>
        <w:br/>
        <w:t>• Citations with 0 Mentions: Conceptual prompts ('difference between TCP and UDP') retrieve the domain in grounding citations, but the LLM explains the concept directly without writing the brand name.</w:t>
        <w:br/>
        <w:t>• Mentions with 0 Citations: Tool queries ('best online graphic design tools') prompt the LLM to recommend the brand (Canva) #1 in the text, but the search engine cites 3rd-party review listicles rather than the brand's own domain.</w:t>
        <w:br/>
        <w:t>Insight: True GEO visibility requires designing queries with commercial or problem-solving intent where both brand authority and domain utility are cited together.</w:t>
      </w:r>
    </w:p>
    <w:p>
      <w:pPr>
        <w:pStyle w:val="Heading2"/>
      </w:pPr>
      <w:r>
        <w:t>4.5 Cumulative Latency &amp; Database Cascade Locking</w:t>
      </w:r>
    </w:p>
    <w:p>
      <w:pPr>
        <w:spacing w:after="120"/>
      </w:pPr>
      <w:r>
        <w:t>Chaining tool calls, search grounding, and secondary extraction produces an end-to-end latency of 6 to 12 seconds per prompt. Furthermore, deleting executions initially caused UI freezes due to cascading foreign-key deletions across 5 database tables. We eliminated this by removing confirmation popups and implementing Optimistic Deletion in React (instant 0ms card removal with background synchronization).</w:t>
      </w:r>
    </w:p>
    <w:p>
      <w:pPr>
        <w:pStyle w:val="Heading1"/>
      </w:pPr>
      <w:r>
        <w:t>5. What We Learned (SEO &amp; GEO Insights)</w:t>
      </w:r>
    </w:p>
    <w:p>
      <w:pPr>
        <w:spacing w:after="80"/>
      </w:pPr>
      <w:r>
        <w:t>1. Traditional SEO vs. GEO: Traditional SEO optimizes for deterministic Googlebot crawlers, keyword density, and blue link rankings (#1–#10). GEO optimizes for probabilistic LLM knowledge synthesis, entity relationships, and Share of Model (SoM).</w:t>
        <w:br/>
        <w:br/>
        <w:t>2. Zero-Click Search Defense: AI Overviews answer user questions directly on the SERP, leading to steep drops in organic website clicks. GEO ensures a brand protects its market presence by being featured and favorably credited directly inside the synthesized AI response.</w:t>
        <w:br/>
        <w:br/>
        <w:t>3. Entity Salience Over Keyword Stuffing: Large language models retrieve brands based on vector proximity in knowledge graphs. A brand must have dense semantic co-occurrence with its problem domain across authoritative third-party sources to be recommended for non-branded queries.</w:t>
        <w:br/>
        <w:br/>
        <w:t>4. Information Gain Wins Citations: Retrieval engines powering AI search prioritize content with high fact density—such as structured comparison tables, verified numerical data, and direct technical definitions—over subjective marketing prose.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