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4F32" w14:textId="1A825E1F" w:rsidR="007A7DF8" w:rsidRPr="006466A8" w:rsidRDefault="006466A8">
      <w:pPr>
        <w:rPr>
          <w:lang w:val="en-US"/>
        </w:rPr>
      </w:pPr>
      <w:r>
        <w:rPr>
          <w:lang w:val="en-US"/>
        </w:rPr>
        <w:t>Court Judgment Prediction &amp; Evaluation</w:t>
      </w:r>
    </w:p>
    <w:sectPr w:rsidR="007A7DF8" w:rsidRPr="00646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A8"/>
    <w:rsid w:val="006466A8"/>
    <w:rsid w:val="007A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D1AD"/>
  <w15:chartTrackingRefBased/>
  <w15:docId w15:val="{9E737AF3-55E2-5D4E-951A-2A6E67A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 Seshadri</dc:creator>
  <cp:keywords/>
  <dc:description/>
  <cp:lastModifiedBy>Aadithya Seshadri</cp:lastModifiedBy>
  <cp:revision>1</cp:revision>
  <dcterms:created xsi:type="dcterms:W3CDTF">2022-11-04T07:11:00Z</dcterms:created>
  <dcterms:modified xsi:type="dcterms:W3CDTF">2022-11-04T07:12:00Z</dcterms:modified>
</cp:coreProperties>
</file>