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1EAD" w14:textId="77777777" w:rsidR="007D2948" w:rsidRPr="007D2948" w:rsidRDefault="007D2948" w:rsidP="007D2948">
      <w:r w:rsidRPr="007D2948">
        <w:rPr>
          <w:b/>
          <w:bCs/>
        </w:rPr>
        <w:t>Customer Churn Prediction &amp; Retention Strategy — Summary</w:t>
      </w:r>
    </w:p>
    <w:p w14:paraId="4E1997B5" w14:textId="77777777" w:rsidR="007D2948" w:rsidRPr="007D2948" w:rsidRDefault="007D2948" w:rsidP="007D2948">
      <w:r w:rsidRPr="007D2948">
        <w:rPr>
          <w:b/>
          <w:bCs/>
        </w:rPr>
        <w:t>Problem:</w:t>
      </w:r>
      <w:r w:rsidRPr="007D2948">
        <w:t xml:space="preserve"> Predict which telecom customers are likely to </w:t>
      </w:r>
      <w:proofErr w:type="gramStart"/>
      <w:r w:rsidRPr="007D2948">
        <w:t>churn, and</w:t>
      </w:r>
      <w:proofErr w:type="gramEnd"/>
      <w:r w:rsidRPr="007D2948">
        <w:t xml:space="preserve"> translate that prediction into a concrete revenue-saving action plan — not just a model score.</w:t>
      </w:r>
    </w:p>
    <w:p w14:paraId="46DDD1D2" w14:textId="77777777" w:rsidR="007D2948" w:rsidRPr="007D2948" w:rsidRDefault="007D2948" w:rsidP="007D2948">
      <w:r w:rsidRPr="007D2948">
        <w:rPr>
          <w:b/>
          <w:bCs/>
        </w:rPr>
        <w:t>Data:</w:t>
      </w:r>
      <w:r w:rsidRPr="007D2948">
        <w:t xml:space="preserve"> Telco Customer Churn dataset (Kaggle), 7,043 customers, 20 features after cleaning. Overall churn rate: 26.5%.</w:t>
      </w:r>
    </w:p>
    <w:p w14:paraId="46C741AD" w14:textId="77777777" w:rsidR="007D2948" w:rsidRPr="007D2948" w:rsidRDefault="007D2948" w:rsidP="007D2948">
      <w:r w:rsidRPr="007D2948">
        <w:rPr>
          <w:b/>
          <w:bCs/>
        </w:rPr>
        <w:t>Approach:</w:t>
      </w:r>
      <w:r w:rsidRPr="007D2948">
        <w:t xml:space="preserve"> Built and compared two models — Logistic Regression (82% accuracy) and </w:t>
      </w:r>
      <w:proofErr w:type="spellStart"/>
      <w:r w:rsidRPr="007D2948">
        <w:t>XGBoost</w:t>
      </w:r>
      <w:proofErr w:type="spellEnd"/>
      <w:r w:rsidRPr="007D2948">
        <w:t xml:space="preserve"> (80% accuracy) — after cleaning missing values and encoding categorical features (contract type, payment method, internet service, etc.). Used SHAP to explain which factors drive churn predictions, rather than treating the model as a black box.</w:t>
      </w:r>
    </w:p>
    <w:p w14:paraId="652F6243" w14:textId="77777777" w:rsidR="007D2948" w:rsidRPr="007D2948" w:rsidRDefault="007D2948" w:rsidP="007D2948">
      <w:r w:rsidRPr="007D2948">
        <w:rPr>
          <w:b/>
          <w:bCs/>
        </w:rPr>
        <w:t>Key drivers of churn identified:</w:t>
      </w:r>
    </w:p>
    <w:p w14:paraId="65D98B11" w14:textId="77777777" w:rsidR="007D2948" w:rsidRPr="007D2948" w:rsidRDefault="007D2948" w:rsidP="007D2948">
      <w:pPr>
        <w:numPr>
          <w:ilvl w:val="0"/>
          <w:numId w:val="1"/>
        </w:numPr>
      </w:pPr>
      <w:r w:rsidRPr="007D2948">
        <w:t>Month-to-month contracts churn far more than 1- or 2-year contracts</w:t>
      </w:r>
    </w:p>
    <w:p w14:paraId="65B8E623" w14:textId="77777777" w:rsidR="007D2948" w:rsidRPr="007D2948" w:rsidRDefault="007D2948" w:rsidP="007D2948">
      <w:pPr>
        <w:numPr>
          <w:ilvl w:val="0"/>
          <w:numId w:val="1"/>
        </w:numPr>
      </w:pPr>
      <w:r w:rsidRPr="007D2948">
        <w:t>Newer customers (low tenure) churn more than long-tenured ones</w:t>
      </w:r>
    </w:p>
    <w:p w14:paraId="0161BA30" w14:textId="77777777" w:rsidR="007D2948" w:rsidRPr="007D2948" w:rsidRDefault="007D2948" w:rsidP="007D2948">
      <w:pPr>
        <w:numPr>
          <w:ilvl w:val="0"/>
          <w:numId w:val="1"/>
        </w:numPr>
      </w:pPr>
      <w:r w:rsidRPr="007D2948">
        <w:t>Fiber optic internet and electronic check payment method are linked to higher churn</w:t>
      </w:r>
    </w:p>
    <w:p w14:paraId="1D308560" w14:textId="77777777" w:rsidR="007D2948" w:rsidRPr="007D2948" w:rsidRDefault="007D2948" w:rsidP="007D2948">
      <w:r w:rsidRPr="007D2948">
        <w:rPr>
          <w:b/>
          <w:bCs/>
        </w:rPr>
        <w:t>Business Impact:</w:t>
      </w:r>
    </w:p>
    <w:p w14:paraId="697987B8" w14:textId="77777777" w:rsidR="007D2948" w:rsidRPr="007D2948" w:rsidRDefault="007D2948" w:rsidP="007D2948">
      <w:pPr>
        <w:numPr>
          <w:ilvl w:val="0"/>
          <w:numId w:val="2"/>
        </w:numPr>
      </w:pPr>
      <w:r w:rsidRPr="007D2948">
        <w:t xml:space="preserve">The model flags </w:t>
      </w:r>
      <w:r w:rsidRPr="007D2948">
        <w:rPr>
          <w:b/>
          <w:bCs/>
        </w:rPr>
        <w:t>$23,893.55/month</w:t>
      </w:r>
      <w:r w:rsidRPr="007D2948">
        <w:t xml:space="preserve"> in revenue tied to customers likely to churn</w:t>
      </w:r>
    </w:p>
    <w:p w14:paraId="76588CFF" w14:textId="77777777" w:rsidR="007D2948" w:rsidRPr="007D2948" w:rsidRDefault="007D2948" w:rsidP="007D2948">
      <w:pPr>
        <w:numPr>
          <w:ilvl w:val="0"/>
          <w:numId w:val="2"/>
        </w:numPr>
      </w:pPr>
      <w:r w:rsidRPr="007D2948">
        <w:t xml:space="preserve">Targeting just the </w:t>
      </w:r>
      <w:r w:rsidRPr="007D2948">
        <w:rPr>
          <w:b/>
          <w:bCs/>
        </w:rPr>
        <w:t>top 20% highest-risk customers</w:t>
      </w:r>
      <w:r w:rsidRPr="007D2948">
        <w:t xml:space="preserve"> (282 people) covers </w:t>
      </w:r>
      <w:r w:rsidRPr="007D2948">
        <w:rPr>
          <w:b/>
          <w:bCs/>
        </w:rPr>
        <w:t>$21,771.50/month</w:t>
      </w:r>
      <w:r w:rsidRPr="007D2948">
        <w:t xml:space="preserve"> in at-risk revenue — most of the risk, in a fifth of the customers</w:t>
      </w:r>
    </w:p>
    <w:p w14:paraId="3E26116A" w14:textId="77777777" w:rsidR="007D2948" w:rsidRPr="007D2948" w:rsidRDefault="007D2948" w:rsidP="007D2948">
      <w:pPr>
        <w:numPr>
          <w:ilvl w:val="0"/>
          <w:numId w:val="2"/>
        </w:numPr>
      </w:pPr>
      <w:r w:rsidRPr="007D2948">
        <w:t xml:space="preserve">Assuming a retention campaign saves 30% of targeted customers, this translates to an estimated </w:t>
      </w:r>
      <w:r w:rsidRPr="007D2948">
        <w:rPr>
          <w:b/>
          <w:bCs/>
        </w:rPr>
        <w:t>$78,377.40 saved annually</w:t>
      </w:r>
    </w:p>
    <w:p w14:paraId="5576F63C" w14:textId="77777777" w:rsidR="007D2948" w:rsidRPr="007D2948" w:rsidRDefault="007D2948" w:rsidP="007D2948">
      <w:r w:rsidRPr="007D2948">
        <w:rPr>
          <w:b/>
          <w:bCs/>
        </w:rPr>
        <w:t>Recommended action:</w:t>
      </w:r>
      <w:r w:rsidRPr="007D2948">
        <w:t xml:space="preserve"> Launch a targeted retention campaign (discount, contract-lock incentive, or proactive outreach) aimed at the top 20% risk segment, prioritizing month-to-month, low-tenure, fiber-optic customers on electronic check billing — the profile SHAP identified as highest-risk.</w:t>
      </w:r>
    </w:p>
    <w:p w14:paraId="46711F26" w14:textId="77777777" w:rsidR="007D2948" w:rsidRDefault="007D2948"/>
    <w:sectPr w:rsidR="007D2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14B17"/>
    <w:multiLevelType w:val="multilevel"/>
    <w:tmpl w:val="D9BE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44021"/>
    <w:multiLevelType w:val="multilevel"/>
    <w:tmpl w:val="040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239881">
    <w:abstractNumId w:val="0"/>
  </w:num>
  <w:num w:numId="2" w16cid:durableId="2003852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48"/>
    <w:rsid w:val="007D2948"/>
    <w:rsid w:val="00B5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84BB"/>
  <w15:chartTrackingRefBased/>
  <w15:docId w15:val="{4ECE26C6-280A-41A3-8822-A40294E2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Aaditi Arkel</dc:creator>
  <cp:keywords/>
  <dc:description/>
  <cp:lastModifiedBy>Aaditi Arkel</cp:lastModifiedBy>
  <cp:revision>2</cp:revision>
  <dcterms:created xsi:type="dcterms:W3CDTF">2026-09-25T18:23:00Z</dcterms:created>
  <dcterms:modified xsi:type="dcterms:W3CDTF">2026-09-25T18:23:00Z</dcterms:modified>
</cp:coreProperties>
</file>