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sz w:val="24"/>
        </w:rPr>
        <w:t>Note: Independence, MO (Eastgate) TRO, hearing Oct 22, 2026. As of Thu Oct 8, 2026, ~11:15 PM ET</w:t>
      </w:r>
    </w:p>
    <w:p>
      <w:pPr>
        <w:spacing w:after="40" w:before="0"/>
      </w:pPr>
      <w:r>
        <w:rPr>
          <w:b w:val="0"/>
          <w:sz w:val="17"/>
        </w:rPr>
        <w:t>Nebius Capacity &amp; Power. Public sources only; nobody contacted. Tags: R = Reported, D = Derived, E = Estimated. [n] = source list at the bottom.</w:t>
      </w:r>
    </w:p>
    <w:p>
      <w:pPr>
        <w:spacing w:after="40" w:before="0"/>
      </w:pPr>
      <w:r>
        <w:rPr>
          <w:b/>
          <w:sz w:val="18"/>
        </w:rPr>
        <w:t xml:space="preserve">Bottom line: </w:t>
      </w:r>
      <w:r>
        <w:rPr>
          <w:b w:val="0"/>
          <w:sz w:val="18"/>
        </w:rPr>
        <w:t>Independence carries 0 MW billed at YE26 and only 4.6 base / 9.3 high MW-yr of FY27 billed IT [D, 9], 0.9% / 1.4% of the locked 531.8 / 659.2 [D]. Even a TRO that is granted and sustained only moves Phase 1 (~Q3'27) timing, so it cannot touch YE26 and caps the FY27 hit at those MW-yr. No lock changes.</w:t>
      </w:r>
    </w:p>
    <w:tbl>
      <w:tblPr>
        <w:tblW w:type="dxa" w:w="14687"/>
        <w:tblLayout w:type="fixed"/>
        <w:tblLook w:firstColumn="1" w:firstRow="1" w:lastColumn="0" w:lastRow="0" w:noHBand="0" w:noVBand="1" w:val="04A0"/>
        <w:tblCellMar>
          <w:left w:w="0" w:type="dxa"/>
          <w:right w:w="144" w:type="dxa"/>
          <w:top w:w="0" w:type="dxa"/>
          <w:bottom w:w="0" w:type="dxa"/>
        </w:tblCellMar>
        <w:tblLayout w:type="fixed"/>
      </w:tblPr>
      <w:tblGrid>
        <w:gridCol w:w="7343"/>
        <w:gridCol w:w="7343"/>
      </w:tblGrid>
      <w:tr>
        <w:tc>
          <w:tcPr>
            <w:tcW w:type="dxa" w:w="7344"/>
          </w:tcPr>
          <w:p>
            <w:pPr>
              <w:spacing w:after="20" w:before="0"/>
            </w:pPr>
            <w:r>
              <w:rPr>
                <w:b/>
                <w:sz w:val="19"/>
              </w:rPr>
              <w:t>1. The case and the TRO (as reported)</w:t>
            </w:r>
          </w:p>
          <w:tbl>
            <w:tblPr>
              <w:tblStyle w:val="TableGrid"/>
              <w:tblW w:type="dxa" w:w="7200"/>
              <w:tblLayout w:type="fixed"/>
              <w:tblLook w:firstColumn="1" w:firstRow="1" w:lastColumn="0" w:lastRow="0" w:noHBand="0" w:noVBand="1" w:val="04A0"/>
              <w:tblCellMar>
                <w:left w:w="40" w:type="dxa"/>
                <w:right w:w="40" w:type="dxa"/>
                <w:top w:w="0" w:type="dxa"/>
                <w:bottom w:w="0" w:type="dxa"/>
              </w:tblCellMar>
              <w:tblLayout w:type="fixed"/>
            </w:tblPr>
            <w:tblGrid>
              <w:gridCol w:w="1152"/>
              <w:gridCol w:w="4852"/>
              <w:gridCol w:w="619"/>
              <w:gridCol w:w="576"/>
            </w:tblGrid>
            <w:tr>
              <w:tc>
                <w:tcPr>
                  <w:tcW w:type="dxa" w:w="1152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Item</w:t>
                  </w:r>
                </w:p>
              </w:tc>
              <w:tc>
                <w:tcPr>
                  <w:tcW w:type="dxa" w:w="4853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Detail</w:t>
                  </w:r>
                </w:p>
              </w:tc>
              <w:tc>
                <w:tcPr>
                  <w:tcW w:type="dxa" w:w="619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Tag</w:t>
                  </w:r>
                </w:p>
              </w:tc>
              <w:tc>
                <w:tcPr>
                  <w:tcW w:type="dxa" w:w="576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Src</w:t>
                  </w:r>
                </w:p>
              </w:tc>
            </w:tr>
            <w:tr>
              <w:tc>
                <w:tcPr>
                  <w:tcW w:type="dxa" w:w="1152"/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Plaintiffs</w:t>
                  </w:r>
                </w:p>
              </w:tc>
              <w:tc>
                <w:tcPr>
                  <w:tcW w:type="dxa" w:w="4853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Independence GUARD Alliance (Guardians United Against Reckless Development) + Bly Road / Little Blue Valley residents; counsel incl. Steve Jeffery (Jeffery Law Group)</w:t>
                  </w:r>
                </w:p>
              </w:tc>
              <w:tc>
                <w:tcPr>
                  <w:tcW w:type="dxa" w:w="619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R</w:t>
                  </w:r>
                </w:p>
              </w:tc>
              <w:tc>
                <w:tcPr>
                  <w:tcW w:type="dxa" w:w="576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1, 3</w:t>
                  </w:r>
                </w:p>
              </w:tc>
            </w:tr>
            <w:tr>
              <w:tc>
                <w:tcPr>
                  <w:tcW w:type="dxa" w:w="1152"/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Defendants</w:t>
                  </w:r>
                </w:p>
              </w:tc>
              <w:tc>
                <w:tcPr>
                  <w:tcW w:type="dxa" w:w="4853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City of Independence; Missouri ADC Holdings LLC (Nebius subsidiary, developer); Independence Power Partners LP (Blue Valley generator)</w:t>
                  </w:r>
                </w:p>
              </w:tc>
              <w:tc>
                <w:tcPr>
                  <w:tcW w:type="dxa" w:w="619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R</w:t>
                  </w:r>
                </w:p>
              </w:tc>
              <w:tc>
                <w:tcPr>
                  <w:tcW w:type="dxa" w:w="576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1, 3</w:t>
                  </w:r>
                </w:p>
              </w:tc>
            </w:tr>
            <w:tr>
              <w:tc>
                <w:tcPr>
                  <w:tcW w:type="dxa" w:w="1152"/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Court / filed</w:t>
                  </w:r>
                </w:p>
              </w:tc>
              <w:tc>
                <w:tcPr>
                  <w:tcW w:type="dxa" w:w="4853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Jackson County Circuit Court; 16-count, 52-page petition filed Aug 2026 with TRO + preliminary-injunction motion. Case number n/d (not in press; Case.net not checked)</w:t>
                  </w:r>
                </w:p>
              </w:tc>
              <w:tc>
                <w:tcPr>
                  <w:tcW w:type="dxa" w:w="619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R; n/d</w:t>
                  </w:r>
                </w:p>
              </w:tc>
              <w:tc>
                <w:tcPr>
                  <w:tcW w:type="dxa" w:w="576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3, 4, 5</w:t>
                  </w:r>
                </w:p>
              </w:tc>
            </w:tr>
            <w:tr>
              <w:tc>
                <w:tcPr>
                  <w:tcW w:type="dxa" w:w="1152"/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Claims</w:t>
                  </w:r>
                </w:p>
              </w:tc>
              <w:tc>
                <w:tcPr>
                  <w:tcW w:type="dxa" w:w="4853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Zoning, Sunshine Law and city-charter violations; non-enforcement of noise/hours/truck rules. Alleges 2022 rezoning without notice, 8 NDAs on power deal, &gt;$150B tax-abated bond authority. City FAQ: site already zoned, no rezoning needed</w:t>
                  </w:r>
                </w:p>
              </w:tc>
              <w:tc>
                <w:tcPr>
                  <w:tcW w:type="dxa" w:w="619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R (allegations)</w:t>
                  </w:r>
                </w:p>
              </w:tc>
              <w:tc>
                <w:tcPr>
                  <w:tcW w:type="dxa" w:w="576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3, 4, 6</w:t>
                  </w:r>
                </w:p>
              </w:tc>
            </w:tr>
            <w:tr>
              <w:tc>
                <w:tcPr>
                  <w:tcW w:type="dxa" w:w="1152"/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Relief sought</w:t>
                  </w:r>
                </w:p>
              </w:tc>
              <w:tc>
                <w:tcPr>
                  <w:tcW w:type="dxa" w:w="4853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Pause construction; block further city bond issuance</w:t>
                  </w:r>
                </w:p>
              </w:tc>
              <w:tc>
                <w:tcPr>
                  <w:tcW w:type="dxa" w:w="619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R</w:t>
                  </w:r>
                </w:p>
              </w:tc>
              <w:tc>
                <w:tcPr>
                  <w:tcW w:type="dxa" w:w="576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4</w:t>
                  </w:r>
                </w:p>
              </w:tc>
            </w:tr>
            <w:tr>
              <w:tc>
                <w:tcPr>
                  <w:tcW w:type="dxa" w:w="1152"/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Hearing</w:t>
                  </w:r>
                </w:p>
              </w:tc>
              <w:tc>
                <w:tcPr>
                  <w:tcW w:type="dxa" w:w="4853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Thu Oct 22, 2026, 9:00 AM CT (10:00 AM ET), Eastern Jackson County Courthouse, Independence: plaintiffs' TRO motion AND defendants' motion to dismiss; evidence + witnesses</w:t>
                  </w:r>
                </w:p>
              </w:tc>
              <w:tc>
                <w:tcPr>
                  <w:tcW w:type="dxa" w:w="619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R</w:t>
                  </w:r>
                </w:p>
              </w:tc>
              <w:tc>
                <w:tcPr>
                  <w:tcW w:type="dxa" w:w="576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1, 2</w:t>
                  </w:r>
                </w:p>
              </w:tc>
            </w:tr>
            <w:tr>
              <w:tc>
                <w:tcPr>
                  <w:tcW w:type="dxa" w:w="1152"/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Bond</w:t>
                  </w:r>
                </w:p>
              </w:tc>
              <w:tc>
                <w:tcPr>
                  <w:tcW w:type="dxa" w:w="4853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A TRO may require a plaintiff bond; if plaintiffs cannot post it, no TRO issues and the suit continues. GUARD founder: "good chance" of TRO, "also a chance we won't"</w:t>
                  </w:r>
                </w:p>
              </w:tc>
              <w:tc>
                <w:tcPr>
                  <w:tcW w:type="dxa" w:w="619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R</w:t>
                  </w:r>
                </w:p>
              </w:tc>
              <w:tc>
                <w:tcPr>
                  <w:tcW w:type="dxa" w:w="576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2</w:t>
                  </w:r>
                </w:p>
              </w:tc>
            </w:tr>
            <w:tr>
              <w:tc>
                <w:tcPr>
                  <w:tcW w:type="dxa" w:w="1152"/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Responses</w:t>
                  </w:r>
                </w:p>
              </w:tc>
              <w:tc>
                <w:tcPr>
                  <w:tcW w:type="dxa" w:w="4853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Nebius: "cannot comment on pending litigation… committed to complying with all applicable laws". City: disagrees, no further comment</w:t>
                  </w:r>
                </w:p>
              </w:tc>
              <w:tc>
                <w:tcPr>
                  <w:tcW w:type="dxa" w:w="619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R</w:t>
                  </w:r>
                </w:p>
              </w:tc>
              <w:tc>
                <w:tcPr>
                  <w:tcW w:type="dxa" w:w="576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1, 2, 4</w:t>
                  </w:r>
                </w:p>
              </w:tc>
            </w:tr>
          </w:tbl>
          <w:p>
            <w:pPr>
              <w:spacing w:before="0" w:after="0" w:lineRule="exact" w:line="40"/>
            </w:pPr>
          </w:p>
          <w:p>
            <w:pPr>
              <w:spacing w:after="0" w:before="60"/>
            </w:pPr>
            <w:r>
              <w:rPr>
                <w:b/>
                <w:sz w:val="18"/>
              </w:rPr>
              <w:t xml:space="preserve">What would change our view: </w:t>
            </w:r>
            <w:r>
              <w:rPr>
                <w:b w:val="0"/>
                <w:sz w:val="18"/>
              </w:rPr>
              <w:t>(1) A TRO or PI that runs past ~Q1'27 or blocks IPP's Blue Valley work (IPP is a named defendant), which would push Phase 1 and the Oct 2027 Ph1 COD [6, 8]. (2) Any Nebius 6-K / Q3 letter naming Independence as a Meta #2 or other contracted site with 1H27 dates, which would raise the MW at stake [10]. (3) A city bond-issuance freeze, if it reaches project financing. Watch: Oct 22 ruling; Q3 letter (late Oct–mid Nov, E).</w:t>
            </w:r>
          </w:p>
        </w:tc>
        <w:tc>
          <w:tcPr>
            <w:tcW w:type="dxa" w:w="7344"/>
          </w:tcPr>
          <w:p>
            <w:pPr>
              <w:spacing w:after="20" w:before="0"/>
            </w:pPr>
            <w:r>
              <w:rPr>
                <w:b/>
                <w:sz w:val="19"/>
              </w:rPr>
              <w:t>2. Independence in the locked numbers</w:t>
            </w:r>
          </w:p>
          <w:tbl>
            <w:tblPr>
              <w:tblStyle w:val="TableGrid"/>
              <w:tblW w:type="dxa" w:w="7200"/>
              <w:tblLayout w:type="fixed"/>
              <w:tblLook w:firstColumn="1" w:firstRow="1" w:lastColumn="0" w:lastRow="0" w:noHBand="0" w:noVBand="1" w:val="04A0"/>
              <w:tblCellMar>
                <w:left w:w="40" w:type="dxa"/>
                <w:right w:w="40" w:type="dxa"/>
                <w:top w:w="0" w:type="dxa"/>
                <w:bottom w:w="0" w:type="dxa"/>
              </w:tblCellMar>
              <w:tblLayout w:type="fixed"/>
            </w:tblPr>
            <w:tblGrid>
              <w:gridCol w:w="4608"/>
              <w:gridCol w:w="1440"/>
              <w:gridCol w:w="648"/>
              <w:gridCol w:w="503"/>
            </w:tblGrid>
            <w:tr>
              <w:tc>
                <w:tcPr>
                  <w:tcW w:type="dxa" w:w="4608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Independence in our lock</w:t>
                  </w:r>
                </w:p>
              </w:tc>
              <w:tc>
                <w:tcPr>
                  <w:tcW w:type="dxa" w:w="1440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Value</w:t>
                  </w:r>
                </w:p>
              </w:tc>
              <w:tc>
                <w:tcPr>
                  <w:tcW w:type="dxa" w:w="648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Tag</w:t>
                  </w:r>
                </w:p>
              </w:tc>
              <w:tc>
                <w:tcPr>
                  <w:tcW w:type="dxa" w:w="504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Src</w:t>
                  </w:r>
                </w:p>
              </w:tc>
            </w:tr>
            <w:tr>
              <w:tc>
                <w:tcPr>
                  <w:tcW w:type="dxa" w:w="4608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YE26 billed IT (no IT before ~Q3'27)</w:t>
                  </w:r>
                </w:p>
              </w:tc>
              <w:tc>
                <w:tcPr>
                  <w:tcW w:type="dxa" w:w="1440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0 MW</w:t>
                  </w:r>
                </w:p>
              </w:tc>
              <w:tc>
                <w:tcPr>
                  <w:tcW w:type="dxa" w:w="648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D</w:t>
                  </w:r>
                </w:p>
              </w:tc>
              <w:tc>
                <w:tcPr>
                  <w:tcW w:type="dxa" w:w="504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9</w:t>
                  </w:r>
                </w:p>
              </w:tc>
            </w:tr>
            <w:tr>
              <w:tc>
                <w:tcPr>
                  <w:tcW w:type="dxa" w:w="4608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YE26 connected plug (utility feed / shell only, not IT)</w:t>
                  </w:r>
                </w:p>
              </w:tc>
              <w:tc>
                <w:tcPr>
                  <w:tcW w:type="dxa" w:w="1440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100 MW (0–200)</w:t>
                  </w:r>
                </w:p>
              </w:tc>
              <w:tc>
                <w:tcPr>
                  <w:tcW w:type="dxa" w:w="648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E</w:t>
                  </w:r>
                </w:p>
              </w:tc>
              <w:tc>
                <w:tcPr>
                  <w:tcW w:type="dxa" w:w="504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9, 10</w:t>
                  </w:r>
                </w:p>
              </w:tc>
            </w:tr>
            <w:tr>
              <w:tc>
                <w:tcPr>
                  <w:tcW w:type="dxa" w:w="4608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Energized IT path: Q3'27 base / high (gross ÷ 1.35)</w:t>
                  </w:r>
                </w:p>
              </w:tc>
              <w:tc>
                <w:tcPr>
                  <w:tcW w:type="dxa" w:w="1440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37.0 / 74.1 MW</w:t>
                  </w:r>
                </w:p>
              </w:tc>
              <w:tc>
                <w:tcPr>
                  <w:tcW w:type="dxa" w:w="648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D on E</w:t>
                  </w:r>
                </w:p>
              </w:tc>
              <w:tc>
                <w:tcPr>
                  <w:tcW w:type="dxa" w:w="504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9</w:t>
                  </w:r>
                </w:p>
              </w:tc>
            </w:tr>
            <w:tr>
              <w:tc>
                <w:tcPr>
                  <w:tcW w:type="dxa" w:w="4608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FY27 avg billed = E_Q3'27 ÷ 8 (1Q lag; only Q3'27 counts)</w:t>
                  </w:r>
                </w:p>
              </w:tc>
              <w:tc>
                <w:tcPr>
                  <w:tcW w:type="dxa" w:w="1440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4.6 / 9.3 MW-yr</w:t>
                  </w:r>
                </w:p>
              </w:tc>
              <w:tc>
                <w:tcPr>
                  <w:tcW w:type="dxa" w:w="648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D</w:t>
                  </w:r>
                </w:p>
              </w:tc>
              <w:tc>
                <w:tcPr>
                  <w:tcW w:type="dxa" w:w="504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9</w:t>
                  </w:r>
                </w:p>
              </w:tc>
            </w:tr>
            <w:tr>
              <w:tc>
                <w:tcPr>
                  <w:tcW w:type="dxa" w:w="4608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Share of locked FY27 billed 531.8 / 659.2</w:t>
                  </w:r>
                </w:p>
              </w:tc>
              <w:tc>
                <w:tcPr>
                  <w:tcW w:type="dxa" w:w="1440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0.9% / 1.4%</w:t>
                  </w:r>
                </w:p>
              </w:tc>
              <w:tc>
                <w:tcPr>
                  <w:tcW w:type="dxa" w:w="648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D</w:t>
                  </w:r>
                </w:p>
              </w:tc>
              <w:tc>
                <w:tcPr>
                  <w:tcW w:type="dxa" w:w="504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9</w:t>
                  </w:r>
                </w:p>
              </w:tc>
            </w:tr>
            <w:tr>
              <w:tc>
                <w:tcPr>
                  <w:tcW w:type="dxa" w:w="4608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Q4'27 energized IT exit (FY28 matter) base / high</w:t>
                  </w:r>
                </w:p>
              </w:tc>
              <w:tc>
                <w:tcPr>
                  <w:tcW w:type="dxa" w:w="1440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92.6 / 148.1 MW</w:t>
                  </w:r>
                </w:p>
              </w:tc>
              <w:tc>
                <w:tcPr>
                  <w:tcW w:type="dxa" w:w="648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D on E</w:t>
                  </w:r>
                </w:p>
              </w:tc>
              <w:tc>
                <w:tcPr>
                  <w:tcW w:type="dxa" w:w="504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9</w:t>
                  </w:r>
                </w:p>
              </w:tc>
            </w:tr>
            <w:tr>
              <w:tc>
                <w:tcPr>
                  <w:tcW w:type="dxa" w:w="4608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Power path: IPL feed from Oct 2026; Blue Valley Ph1 COD Oct 2027</w:t>
                  </w:r>
                </w:p>
              </w:tc>
              <w:tc>
                <w:tcPr>
                  <w:tcW w:type="dxa" w:w="1440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200 / ~200–250 MW</w:t>
                  </w:r>
                </w:p>
              </w:tc>
              <w:tc>
                <w:tcPr>
                  <w:tcW w:type="dxa" w:w="648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R</w:t>
                  </w:r>
                </w:p>
              </w:tc>
              <w:tc>
                <w:tcPr>
                  <w:tcW w:type="dxa" w:w="504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6, 7, 8</w:t>
                  </w:r>
                </w:p>
              </w:tc>
            </w:tr>
          </w:tbl>
          <w:p>
            <w:pPr>
              <w:spacing w:before="0" w:after="0" w:lineRule="exact" w:line="40"/>
            </w:pPr>
          </w:p>
          <w:p>
            <w:pPr>
              <w:spacing w:after="20" w:before="60"/>
            </w:pPr>
            <w:r>
              <w:rPr>
                <w:b/>
                <w:sz w:val="19"/>
              </w:rPr>
              <w:t>3. What Oct 22 outcomes would (and would not) change</w:t>
            </w:r>
          </w:p>
          <w:tbl>
            <w:tblPr>
              <w:tblStyle w:val="TableGrid"/>
              <w:tblW w:type="dxa" w:w="7200"/>
              <w:tblLayout w:type="fixed"/>
              <w:tblLook w:firstColumn="1" w:firstRow="1" w:lastColumn="0" w:lastRow="0" w:noHBand="0" w:noVBand="1" w:val="04A0"/>
              <w:tblCellMar>
                <w:left w:w="40" w:type="dxa"/>
                <w:right w:w="40" w:type="dxa"/>
                <w:top w:w="0" w:type="dxa"/>
                <w:bottom w:w="0" w:type="dxa"/>
              </w:tblCellMar>
              <w:tblLayout w:type="fixed"/>
            </w:tblPr>
            <w:tblGrid>
              <w:gridCol w:w="1944"/>
              <w:gridCol w:w="2880"/>
              <w:gridCol w:w="1800"/>
              <w:gridCol w:w="576"/>
            </w:tblGrid>
            <w:tr>
              <w:tc>
                <w:tcPr>
                  <w:tcW w:type="dxa" w:w="1944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Oct 22 outcome</w:t>
                  </w:r>
                </w:p>
              </w:tc>
              <w:tc>
                <w:tcPr>
                  <w:tcW w:type="dxa" w:w="2880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Effect on our numbers</w:t>
                  </w:r>
                </w:p>
              </w:tc>
              <w:tc>
                <w:tcPr>
                  <w:tcW w:type="dxa" w:w="1800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FY27 billed base / high (MW-yr)</w:t>
                  </w:r>
                </w:p>
              </w:tc>
              <w:tc>
                <w:tcPr>
                  <w:tcW w:type="dxa" w:w="576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Tag</w:t>
                  </w:r>
                </w:p>
              </w:tc>
            </w:tr>
            <w:tr>
              <w:tc>
                <w:tcPr>
                  <w:tcW w:type="dxa" w:w="1944"/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TRO denied, or motion to dismiss granted</w:t>
                  </w:r>
                </w:p>
              </w:tc>
              <w:tc>
                <w:tcPr>
                  <w:tcW w:type="dxa" w:w="2880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None. Phase 1 ~Q3'27 holds</w:t>
                  </w:r>
                </w:p>
              </w:tc>
              <w:tc>
                <w:tcPr>
                  <w:tcW w:type="dxa" w:w="1800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531.8 / 659.2 (0 / 0)</w:t>
                  </w:r>
                </w:p>
              </w:tc>
              <w:tc>
                <w:tcPr>
                  <w:tcW w:type="dxa" w:w="576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D</w:t>
                  </w:r>
                </w:p>
              </w:tc>
            </w:tr>
            <w:tr>
              <w:tc>
                <w:tcPr>
                  <w:tcW w:type="dxa" w:w="1944"/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TRO granted but bond not posted</w:t>
                  </w:r>
                </w:p>
              </w:tc>
              <w:tc>
                <w:tcPr>
                  <w:tcW w:type="dxa" w:w="2880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None (no TRO issues; suit proceeds)</w:t>
                  </w:r>
                </w:p>
              </w:tc>
              <w:tc>
                <w:tcPr>
                  <w:tcW w:type="dxa" w:w="1800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531.8 / 659.2 (0 / 0)</w:t>
                  </w:r>
                </w:p>
              </w:tc>
              <w:tc>
                <w:tcPr>
                  <w:tcW w:type="dxa" w:w="576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D; R mech.</w:t>
                  </w:r>
                </w:p>
              </w:tc>
            </w:tr>
            <w:tr>
              <w:tc>
                <w:tcPr>
                  <w:tcW w:type="dxa" w:w="1944"/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Short TRO (weeks) in Q4'26</w:t>
                  </w:r>
                </w:p>
              </w:tc>
              <w:tc>
                <w:tcPr>
                  <w:tcW w:type="dxa" w:w="2880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Shell work pauses; YE26 billed still 0. Phase 1 ~Q3'27 likely holds (slack to Blue Valley Oct 2027 COD)</w:t>
                  </w:r>
                </w:p>
              </w:tc>
              <w:tc>
                <w:tcPr>
                  <w:tcW w:type="dxa" w:w="1800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531.8 / 659.2 (0 / 0)</w:t>
                  </w:r>
                </w:p>
              </w:tc>
              <w:tc>
                <w:tcPr>
                  <w:tcW w:type="dxa" w:w="576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D; timing E</w:t>
                  </w:r>
                </w:p>
              </w:tc>
            </w:tr>
            <w:tr>
              <w:tc>
                <w:tcPr>
                  <w:tcW w:type="dxa" w:w="1944"/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TRO/PI slips Phase 1 by ≥1 quarter (Q3'27 → Q4'27+)</w:t>
                  </w:r>
                </w:p>
              </w:tc>
              <w:tc>
                <w:tcPr>
                  <w:tcW w:type="dxa" w:w="2880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Independence FY27 billed → 0. Worst case for FY27 = full site</w:t>
                  </w:r>
                </w:p>
              </w:tc>
              <w:tc>
                <w:tcPr>
                  <w:tcW w:type="dxa" w:w="1800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527.2 / 649.9 (−4.6 / −9.3; −0.9% / −1.4%)</w:t>
                  </w:r>
                </w:p>
              </w:tc>
              <w:tc>
                <w:tcPr>
                  <w:tcW w:type="dxa" w:w="576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D</w:t>
                  </w:r>
                </w:p>
              </w:tc>
            </w:tr>
            <w:tr>
              <w:tc>
                <w:tcPr>
                  <w:tcW w:type="dxa" w:w="1944"/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PI until case decided (multi-quarter)</w:t>
                  </w:r>
                </w:p>
              </w:tc>
              <w:tc>
                <w:tcPr>
                  <w:tcW w:type="dxa" w:w="2880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FY27 hit capped as above; risk moves to the YE27 exit 92.6 / 148.1 IT MW (FY28) and the YE26 100 MW connected plug [E]</w:t>
                  </w:r>
                </w:p>
              </w:tc>
              <w:tc>
                <w:tcPr>
                  <w:tcW w:type="dxa" w:w="1800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527.2 / 649.9 (capped)</w:t>
                  </w:r>
                </w:p>
              </w:tc>
              <w:tc>
                <w:tcPr>
                  <w:tcW w:type="dxa" w:w="576"/>
                </w:tcPr>
                <w:p>
                  <w:pPr>
                    <w:spacing w:after="0"/>
                  </w:pPr>
                  <w:r>
                    <w:rPr>
                      <w:sz w:val="17"/>
                    </w:rPr>
                    <w:t>D</w:t>
                  </w:r>
                </w:p>
              </w:tc>
            </w:tr>
          </w:tbl>
          <w:p>
            <w:pPr>
              <w:spacing w:before="0" w:after="0" w:lineRule="exact" w:line="40"/>
            </w:pPr>
          </w:p>
          <w:p>
            <w:pPr>
              <w:spacing w:after="20" w:before="20"/>
            </w:pPr>
            <w:r>
              <w:rPr>
                <w:b w:val="0"/>
                <w:sz w:val="17"/>
              </w:rPr>
              <w:t>Gap to the 768.75 MW needed at $16M widens only 236.9 → 241.5 base / 109.6 → 118.9 high [D, 9]. Illustrative revenue at the ~$14.5M/IT MW-yr engine rate: ~$67M / ~$134M of FY27 [E, 9].</w:t>
            </w:r>
          </w:p>
        </w:tc>
      </w:tr>
    </w:tbl>
    <w:p>
      <w:pPr>
        <w:spacing w:after="0" w:before="60"/>
      </w:pPr>
      <w:r>
        <w:rPr>
          <w:b/>
          <w:color w:val="404040"/>
          <w:sz w:val="16"/>
        </w:rPr>
        <w:t xml:space="preserve">Sources: </w:t>
      </w:r>
      <w:r>
        <w:rPr>
          <w:b w:val="0"/>
          <w:color w:val="404040"/>
          <w:sz w:val="16"/>
        </w:rPr>
        <w:t>[1] KSHB 41, "Hearing set for Oct. 22 on TRO for Nebius data center project" (Oct 8, 2026, 4:15 AM ET) www.kshb.com/news/local-news/hearing-set-for-october-22-on-temporary-restraining-order-for-nebius-data-center-project · [2] FOX4 KC, "Judge could order Nebius to halt data center construction in Independence" (Oct 7, 2026, 3:23 PM ET; upd. 6:23 PM ET) fox4kc.com/news/judge-could-order-nebius-to-halt-data-center-construction-in-independence/ · [3] KSHB 41, "Bly Road residents file lawsuit…" (Aug 2026) www.kshb.com/news/local-news/missouri/jackson-county/independence-guard-alliance-files-lawsuit-to-halt-construction-of-independence-data-center · [4] KCTV5 (Aug 13, 2026) www.kctv5.com/2026/08/13/lawsuit-aims-block-construction-independence-data-center/ · [5] suedatacenters.org case page (no case no.; Case.net not machine-accessible) suedatacenters.org/lawsuits/independence-missouri-guard-alliance-data-center-lawsuit · [6] City of Independence data-center FAQs www.independencemo.gov/data-center-faqs · [7] Nebius x Independence deck (Jan/Feb 2026) www.independencemo.gov/sites/default/files/2026-02/Nebius%20x%20Independence%2C%20MO.cleaned.pdf · [8] MO DED groundbreaking (May 12, 2026) ded.mo.gov/press-room/nebius-breaks-ground-gigawatt-scale-ai-factory-independence ; KC Star / citizenportal on Blue Valley (via owned_campus_power_path.md) · [9] Team files: final_billed_vs_connected.xlsx (Final_Table row 7, Quarterly_IT row 3; locked Oct 8); nebius_model.xlsx v0.9e Judge_Slide · [10] owned_campus_power_path.md §1; site_verification.md §2; site_tracker_wed.xlsx; unseen_capacity.md; Nebius FY25 20-F (Meta #2 1H27)</w:t>
      </w:r>
    </w:p>
    <w:sectPr w:rsidR="00FC693F" w:rsidRPr="0006063C" w:rsidSect="00034616">
      <w:pgSz w:w="15840" w:h="12240" w:orient="landscape"/>
      <w:pgMar w:top="432" w:right="576" w:bottom="432" w:left="576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alibri" w:hAnsi="Calibri" w:eastAsia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