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sz w:val="24"/>
        </w:rPr>
        <w:t>Appendix: Vineland, NJ (DataOne / Microsoft) site status, as of Thu Oct 8, 2026, ~9:00 AM ET</w:t>
      </w:r>
    </w:p>
    <w:p>
      <w:pPr>
        <w:spacing w:after="40" w:before="0"/>
      </w:pPr>
      <w:r>
        <w:rPr>
          <w:b w:val="0"/>
          <w:sz w:val="17"/>
        </w:rPr>
        <w:t>Nebius Capacity &amp; Power. Public sources only. Tags: R = Reported, D = Derived, E = Estimated. [n] = source list at the bottom.</w:t>
      </w:r>
    </w:p>
    <w:p>
      <w:pPr>
        <w:spacing w:after="40" w:before="0"/>
      </w:pPr>
      <w:r>
        <w:rPr>
          <w:b/>
          <w:sz w:val="18"/>
        </w:rPr>
        <w:t xml:space="preserve">Definitions [3]: </w:t>
      </w:r>
      <w:r>
        <w:rPr>
          <w:b w:val="0"/>
          <w:sz w:val="18"/>
        </w:rPr>
        <w:t xml:space="preserve">Connected = power delivered into fully built, equipped halls; it can sit idle until GPUs arrive (not the ~5 GW contracted, not billing). Active = power used by installed, operating IT. Billed = revenue-generating IT MW (active lagged ~1Q; Vineland counted by delivered tranche). </w:t>
      </w:r>
      <w:r>
        <w:rPr>
          <w:b/>
          <w:sz w:val="18"/>
        </w:rPr>
        <w:t xml:space="preserve">Connected is not billing: </w:t>
      </w:r>
      <w:r>
        <w:rPr>
          <w:b w:val="0"/>
          <w:sz w:val="18"/>
        </w:rPr>
        <w:t>company YE26 ~941 connected [E] (guide 800 MW–1 GW [R]) vs ~258 billed [D] [17].</w:t>
      </w:r>
    </w:p>
    <w:tbl>
      <w:tblPr>
        <w:tblW w:type="dxa" w:w="14687"/>
        <w:tblLayout w:type="fixed"/>
        <w:tblLook w:firstColumn="1" w:firstRow="1" w:lastColumn="0" w:lastRow="0" w:noHBand="0" w:noVBand="1" w:val="04A0"/>
        <w:tblCellMar>
          <w:left w:w="0" w:type="dxa"/>
          <w:right w:w="144" w:type="dxa"/>
          <w:top w:w="0" w:type="dxa"/>
          <w:bottom w:w="0" w:type="dxa"/>
        </w:tblCellMar>
        <w:tblLayout w:type="fixed"/>
      </w:tblPr>
      <w:tblGrid>
        <w:gridCol w:w="7343"/>
        <w:gridCol w:w="7343"/>
      </w:tblGrid>
      <w:tr>
        <w:tc>
          <w:tcPr>
            <w:tcW w:type="dxa" w:w="7344"/>
          </w:tcPr>
          <w:p>
            <w:pPr>
              <w:spacing w:after="20" w:before="0"/>
            </w:pPr>
            <w:r>
              <w:rPr>
                <w:b/>
                <w:sz w:val="19"/>
              </w:rPr>
              <w:t>1. Microsoft tranches at Vineland: 4 of 9 live, T5–T9 Bloom-gated</w:t>
            </w:r>
          </w:p>
          <w:tbl>
            <w:tblPr>
              <w:tblStyle w:val="TableGrid"/>
              <w:tblW w:type="dxa" w:w="7200"/>
              <w:tblLayout w:type="fixed"/>
              <w:tblLook w:firstColumn="1" w:firstRow="1" w:lastColumn="0" w:lastRow="0" w:noHBand="0" w:noVBand="1" w:val="04A0"/>
              <w:tblCellMar>
                <w:left w:w="40" w:type="dxa"/>
                <w:right w:w="40" w:type="dxa"/>
                <w:top w:w="0" w:type="dxa"/>
                <w:bottom w:w="0" w:type="dxa"/>
              </w:tblCellMar>
              <w:tblLayout w:type="fixed"/>
            </w:tblPr>
            <w:tblGrid>
              <w:gridCol w:w="748"/>
              <w:gridCol w:w="1152"/>
              <w:gridCol w:w="2736"/>
              <w:gridCol w:w="720"/>
              <w:gridCol w:w="979"/>
              <w:gridCol w:w="864"/>
            </w:tblGrid>
            <w:tr>
              <w:tc>
                <w:tcPr>
                  <w:tcW w:type="dxa" w:w="749"/>
                  <w:shd w:val="clear" w:color="auto" w:fill="D9E2F3"/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Tranche</w:t>
                  </w:r>
                </w:p>
              </w:tc>
              <w:tc>
                <w:tcPr>
                  <w:tcW w:type="dxa" w:w="1152"/>
                  <w:shd w:val="clear" w:color="auto" w:fill="D9E2F3"/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Status</w:t>
                  </w:r>
                </w:p>
              </w:tc>
              <w:tc>
                <w:tcPr>
                  <w:tcW w:type="dxa" w:w="2736"/>
                  <w:shd w:val="clear" w:color="auto" w:fill="D9E2F3"/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Delivered / billing start (base)</w:t>
                  </w:r>
                </w:p>
              </w:tc>
              <w:tc>
                <w:tcPr>
                  <w:tcW w:type="dxa" w:w="720"/>
                  <w:shd w:val="clear" w:color="auto" w:fill="D9E2F3"/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IT MW</w:t>
                  </w:r>
                </w:p>
              </w:tc>
              <w:tc>
                <w:tcPr>
                  <w:tcW w:type="dxa" w:w="979"/>
                  <w:shd w:val="clear" w:color="auto" w:fill="D9E2F3"/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Power</w:t>
                  </w:r>
                </w:p>
              </w:tc>
              <w:tc>
                <w:tcPr>
                  <w:tcW w:type="dxa" w:w="864"/>
                  <w:shd w:val="clear" w:color="auto" w:fill="D9E2F3"/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Src</w:t>
                  </w:r>
                </w:p>
              </w:tc>
            </w:tr>
            <w:tr>
              <w:tc>
                <w:tcPr>
                  <w:tcW w:type="dxa" w:w="749"/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T1</w:t>
                  </w:r>
                </w:p>
              </w:tc>
              <w:tc>
                <w:tcPr>
                  <w:tcW w:type="dxa" w:w="1152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Live</w:t>
                  </w:r>
                </w:p>
              </w:tc>
              <w:tc>
                <w:tcPr>
                  <w:tcW w:type="dxa" w:w="2736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Delivered Nov 2025 [R]</w:t>
                  </w:r>
                </w:p>
              </w:tc>
              <w:tc>
                <w:tcPr>
                  <w:tcW w:type="dxa" w:w="720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26.7 E</w:t>
                  </w:r>
                </w:p>
              </w:tc>
              <w:tc>
                <w:tcPr>
                  <w:tcW w:type="dxa" w:w="979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Gensets [R]</w:t>
                  </w:r>
                </w:p>
              </w:tc>
              <w:tc>
                <w:tcPr>
                  <w:tcW w:type="dxa" w:w="864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1, 6</w:t>
                  </w:r>
                </w:p>
              </w:tc>
            </w:tr>
            <w:tr>
              <w:tc>
                <w:tcPr>
                  <w:tcW w:type="dxa" w:w="749"/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T2</w:t>
                  </w:r>
                </w:p>
              </w:tc>
              <w:tc>
                <w:tcPr>
                  <w:tcW w:type="dxa" w:w="1152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Live</w:t>
                  </w:r>
                </w:p>
              </w:tc>
              <w:tc>
                <w:tcPr>
                  <w:tcW w:type="dxa" w:w="2736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Delivered Feb 2026 [R]</w:t>
                  </w:r>
                </w:p>
              </w:tc>
              <w:tc>
                <w:tcPr>
                  <w:tcW w:type="dxa" w:w="720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26.7 E</w:t>
                  </w:r>
                </w:p>
              </w:tc>
              <w:tc>
                <w:tcPr>
                  <w:tcW w:type="dxa" w:w="979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Gensets [R]</w:t>
                  </w:r>
                </w:p>
              </w:tc>
              <w:tc>
                <w:tcPr>
                  <w:tcW w:type="dxa" w:w="864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1, 6</w:t>
                  </w:r>
                </w:p>
              </w:tc>
            </w:tr>
            <w:tr>
              <w:tc>
                <w:tcPr>
                  <w:tcW w:type="dxa" w:w="749"/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T3</w:t>
                  </w:r>
                </w:p>
              </w:tc>
              <w:tc>
                <w:tcPr>
                  <w:tcW w:type="dxa" w:w="1152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Live</w:t>
                  </w:r>
                </w:p>
              </w:tc>
              <w:tc>
                <w:tcPr>
                  <w:tcW w:type="dxa" w:w="2736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Delivered Jul–Aug 2026 [R]</w:t>
                  </w:r>
                </w:p>
              </w:tc>
              <w:tc>
                <w:tcPr>
                  <w:tcW w:type="dxa" w:w="720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26.7 E</w:t>
                  </w:r>
                </w:p>
              </w:tc>
              <w:tc>
                <w:tcPr>
                  <w:tcW w:type="dxa" w:w="979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Gensets [R]</w:t>
                  </w:r>
                </w:p>
              </w:tc>
              <w:tc>
                <w:tcPr>
                  <w:tcW w:type="dxa" w:w="864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2, 6</w:t>
                  </w:r>
                </w:p>
              </w:tc>
            </w:tr>
            <w:tr>
              <w:tc>
                <w:tcPr>
                  <w:tcW w:type="dxa" w:w="749"/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T4</w:t>
                  </w:r>
                </w:p>
              </w:tc>
              <w:tc>
                <w:tcPr>
                  <w:tcW w:type="dxa" w:w="1152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Live</w:t>
                  </w:r>
                </w:p>
              </w:tc>
              <w:tc>
                <w:tcPr>
                  <w:tcW w:type="dxa" w:w="2736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Delivered Jul–Aug 2026 [R]</w:t>
                  </w:r>
                </w:p>
              </w:tc>
              <w:tc>
                <w:tcPr>
                  <w:tcW w:type="dxa" w:w="720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26.7 E</w:t>
                  </w:r>
                </w:p>
              </w:tc>
              <w:tc>
                <w:tcPr>
                  <w:tcW w:type="dxa" w:w="979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Gensets [R]</w:t>
                  </w:r>
                </w:p>
              </w:tc>
              <w:tc>
                <w:tcPr>
                  <w:tcW w:type="dxa" w:w="864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2, 6</w:t>
                  </w:r>
                </w:p>
              </w:tc>
            </w:tr>
            <w:tr>
              <w:tc>
                <w:tcPr>
                  <w:tcW w:type="dxa" w:w="749"/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T5</w:t>
                  </w:r>
                </w:p>
              </w:tc>
              <w:tc>
                <w:tcPr>
                  <w:tcW w:type="dxa" w:w="1152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Bloom-gated</w:t>
                  </w:r>
                </w:p>
              </w:tc>
              <w:tc>
                <w:tcPr>
                  <w:tcW w:type="dxa" w:w="2736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Not delivered [R]; bills Q2'27 [E]</w:t>
                  </w:r>
                </w:p>
              </w:tc>
              <w:tc>
                <w:tcPr>
                  <w:tcW w:type="dxa" w:w="720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26.7 E</w:t>
                  </w:r>
                </w:p>
              </w:tc>
              <w:tc>
                <w:tcPr>
                  <w:tcW w:type="dxa" w:w="979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Bloom [R]</w:t>
                  </w:r>
                </w:p>
              </w:tc>
              <w:tc>
                <w:tcPr>
                  <w:tcW w:type="dxa" w:w="864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2, 9, 17</w:t>
                  </w:r>
                </w:p>
              </w:tc>
            </w:tr>
            <w:tr>
              <w:tc>
                <w:tcPr>
                  <w:tcW w:type="dxa" w:w="749"/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T6</w:t>
                  </w:r>
                </w:p>
              </w:tc>
              <w:tc>
                <w:tcPr>
                  <w:tcW w:type="dxa" w:w="1152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Bloom-gated</w:t>
                  </w:r>
                </w:p>
              </w:tc>
              <w:tc>
                <w:tcPr>
                  <w:tcW w:type="dxa" w:w="2736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Not delivered [R]; bills Q2'27 [E]</w:t>
                  </w:r>
                </w:p>
              </w:tc>
              <w:tc>
                <w:tcPr>
                  <w:tcW w:type="dxa" w:w="720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26.7 E</w:t>
                  </w:r>
                </w:p>
              </w:tc>
              <w:tc>
                <w:tcPr>
                  <w:tcW w:type="dxa" w:w="979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Bloom [R]</w:t>
                  </w:r>
                </w:p>
              </w:tc>
              <w:tc>
                <w:tcPr>
                  <w:tcW w:type="dxa" w:w="864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2, 9, 17</w:t>
                  </w:r>
                </w:p>
              </w:tc>
            </w:tr>
            <w:tr>
              <w:tc>
                <w:tcPr>
                  <w:tcW w:type="dxa" w:w="749"/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T7</w:t>
                  </w:r>
                </w:p>
              </w:tc>
              <w:tc>
                <w:tcPr>
                  <w:tcW w:type="dxa" w:w="1152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Bloom-gated</w:t>
                  </w:r>
                </w:p>
              </w:tc>
              <w:tc>
                <w:tcPr>
                  <w:tcW w:type="dxa" w:w="2736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Not delivered [R]; bills Q3'27 [E]</w:t>
                  </w:r>
                </w:p>
              </w:tc>
              <w:tc>
                <w:tcPr>
                  <w:tcW w:type="dxa" w:w="720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26.7 E</w:t>
                  </w:r>
                </w:p>
              </w:tc>
              <w:tc>
                <w:tcPr>
                  <w:tcW w:type="dxa" w:w="979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Bloom [R]</w:t>
                  </w:r>
                </w:p>
              </w:tc>
              <w:tc>
                <w:tcPr>
                  <w:tcW w:type="dxa" w:w="864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2, 9, 17</w:t>
                  </w:r>
                </w:p>
              </w:tc>
            </w:tr>
            <w:tr>
              <w:tc>
                <w:tcPr>
                  <w:tcW w:type="dxa" w:w="749"/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T8</w:t>
                  </w:r>
                </w:p>
              </w:tc>
              <w:tc>
                <w:tcPr>
                  <w:tcW w:type="dxa" w:w="1152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Bloom-gated</w:t>
                  </w:r>
                </w:p>
              </w:tc>
              <w:tc>
                <w:tcPr>
                  <w:tcW w:type="dxa" w:w="2736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Not delivered [R]; bills Q3'27 [E]</w:t>
                  </w:r>
                </w:p>
              </w:tc>
              <w:tc>
                <w:tcPr>
                  <w:tcW w:type="dxa" w:w="720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26.7 E</w:t>
                  </w:r>
                </w:p>
              </w:tc>
              <w:tc>
                <w:tcPr>
                  <w:tcW w:type="dxa" w:w="979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Bloom [R]</w:t>
                  </w:r>
                </w:p>
              </w:tc>
              <w:tc>
                <w:tcPr>
                  <w:tcW w:type="dxa" w:w="864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2, 9, 17</w:t>
                  </w:r>
                </w:p>
              </w:tc>
            </w:tr>
            <w:tr>
              <w:tc>
                <w:tcPr>
                  <w:tcW w:type="dxa" w:w="749"/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T9</w:t>
                  </w:r>
                </w:p>
              </w:tc>
              <w:tc>
                <w:tcPr>
                  <w:tcW w:type="dxa" w:w="1152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Bloom-gated</w:t>
                  </w:r>
                </w:p>
              </w:tc>
              <w:tc>
                <w:tcPr>
                  <w:tcW w:type="dxa" w:w="2736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Not delivered [R]; bills Q3'27 [E]</w:t>
                  </w:r>
                </w:p>
              </w:tc>
              <w:tc>
                <w:tcPr>
                  <w:tcW w:type="dxa" w:w="720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26.7 E</w:t>
                  </w:r>
                </w:p>
              </w:tc>
              <w:tc>
                <w:tcPr>
                  <w:tcW w:type="dxa" w:w="979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Bloom [R]</w:t>
                  </w:r>
                </w:p>
              </w:tc>
              <w:tc>
                <w:tcPr>
                  <w:tcW w:type="dxa" w:w="864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2, 9, 17</w:t>
                  </w:r>
                </w:p>
              </w:tc>
            </w:tr>
          </w:tbl>
          <w:p>
            <w:pPr>
              <w:spacing w:before="0" w:after="0" w:lineRule="exact" w:line="40"/>
            </w:pPr>
          </w:p>
          <w:p>
            <w:pPr>
              <w:spacing w:after="20" w:before="20"/>
            </w:pPr>
            <w:r>
              <w:rPr>
                <w:b w:val="0"/>
                <w:sz w:val="17"/>
              </w:rPr>
              <w:t>9 tranches in 2025–26 [R, 1]; T3–T4 = "two tranches over the past month" (Aug 12 letter) [R, 2]. Tranche MW not disclosed: 26.7 = 240 IT ÷ 9 equal split [E, 17]. Gensets: 16 running from Oct 2025, 32 from Feb 2026, all 62 fired by Jun 2026 [R, 6]. Missed dates give Microsoft tranche-termination / service-credit rights [R, 1]. Bloom deal: ~328 MW installed / ~250 MW guaranteed, "operational during 2026" [R, 9].</w:t>
            </w:r>
          </w:p>
          <w:p>
            <w:pPr>
              <w:spacing w:after="20" w:before="60"/>
            </w:pPr>
            <w:r>
              <w:rPr>
                <w:b/>
                <w:sz w:val="19"/>
              </w:rPr>
              <w:t>2. Locked numbers</w:t>
            </w:r>
          </w:p>
          <w:tbl>
            <w:tblPr>
              <w:tblStyle w:val="TableGrid"/>
              <w:tblW w:type="dxa" w:w="7200"/>
              <w:tblLayout w:type="fixed"/>
              <w:tblLook w:firstColumn="1" w:firstRow="1" w:lastColumn="0" w:lastRow="0" w:noHBand="0" w:noVBand="1" w:val="04A0"/>
              <w:tblCellMar>
                <w:left w:w="40" w:type="dxa"/>
                <w:right w:w="40" w:type="dxa"/>
                <w:top w:w="0" w:type="dxa"/>
                <w:bottom w:w="0" w:type="dxa"/>
              </w:tblCellMar>
              <w:tblLayout w:type="fixed"/>
            </w:tblPr>
            <w:tblGrid>
              <w:gridCol w:w="4392"/>
              <w:gridCol w:w="1368"/>
              <w:gridCol w:w="720"/>
              <w:gridCol w:w="720"/>
            </w:tblGrid>
            <w:tr>
              <w:tc>
                <w:tcPr>
                  <w:tcW w:type="dxa" w:w="4392"/>
                  <w:shd w:val="clear" w:color="auto" w:fill="D9E2F3"/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Locked number</w:t>
                  </w:r>
                </w:p>
              </w:tc>
              <w:tc>
                <w:tcPr>
                  <w:tcW w:type="dxa" w:w="1368"/>
                  <w:shd w:val="clear" w:color="auto" w:fill="D9E2F3"/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Value</w:t>
                  </w:r>
                </w:p>
              </w:tc>
              <w:tc>
                <w:tcPr>
                  <w:tcW w:type="dxa" w:w="720"/>
                  <w:shd w:val="clear" w:color="auto" w:fill="D9E2F3"/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Tag</w:t>
                  </w:r>
                </w:p>
              </w:tc>
              <w:tc>
                <w:tcPr>
                  <w:tcW w:type="dxa" w:w="720"/>
                  <w:shd w:val="clear" w:color="auto" w:fill="D9E2F3"/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Src</w:t>
                  </w:r>
                </w:p>
              </w:tc>
            </w:tr>
            <w:tr>
              <w:tc>
                <w:tcPr>
                  <w:tcW w:type="dxa" w:w="4392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YE26 connected, gross shell (site split of 941)</w:t>
                  </w:r>
                </w:p>
              </w:tc>
              <w:tc>
                <w:tcPr>
                  <w:tcW w:type="dxa" w:w="1368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300 MW</w:t>
                  </w:r>
                </w:p>
              </w:tc>
              <w:tc>
                <w:tcPr>
                  <w:tcW w:type="dxa" w:w="720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E</w:t>
                  </w:r>
                </w:p>
              </w:tc>
              <w:tc>
                <w:tcPr>
                  <w:tcW w:type="dxa" w:w="720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17</w:t>
                  </w:r>
                </w:p>
              </w:tc>
            </w:tr>
            <w:tr>
              <w:tc>
                <w:tcPr>
                  <w:tcW w:type="dxa" w:w="4392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YE26 active IT, on gensets</w:t>
                  </w:r>
                </w:p>
              </w:tc>
              <w:tc>
                <w:tcPr>
                  <w:tcW w:type="dxa" w:w="1368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~82 MW</w:t>
                  </w:r>
                </w:p>
              </w:tc>
              <w:tc>
                <w:tcPr>
                  <w:tcW w:type="dxa" w:w="720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D</w:t>
                  </w:r>
                </w:p>
              </w:tc>
              <w:tc>
                <w:tcPr>
                  <w:tcW w:type="dxa" w:w="720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17</w:t>
                  </w:r>
                </w:p>
              </w:tc>
            </w:tr>
            <w:tr>
              <w:tc>
                <w:tcPr>
                  <w:tcW w:type="dxa" w:w="4392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Gap (only the gap; not a forecast)</w:t>
                  </w:r>
                </w:p>
              </w:tc>
              <w:tc>
                <w:tcPr>
                  <w:tcW w:type="dxa" w:w="1368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218 MW</w:t>
                  </w:r>
                </w:p>
              </w:tc>
              <w:tc>
                <w:tcPr>
                  <w:tcW w:type="dxa" w:w="720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D</w:t>
                  </w:r>
                </w:p>
              </w:tc>
              <w:tc>
                <w:tcPr>
                  <w:tcW w:type="dxa" w:w="720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17</w:t>
                  </w:r>
                </w:p>
              </w:tc>
            </w:tr>
            <w:tr>
              <w:tc>
                <w:tcPr>
                  <w:tcW w:type="dxa" w:w="4392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T1–T4 genset ceiling: (62 × 1.982 + ~5 grid) ÷ 1.2</w:t>
                  </w:r>
                </w:p>
              </w:tc>
              <w:tc>
                <w:tcPr>
                  <w:tcW w:type="dxa" w:w="1368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~107 MW IT</w:t>
                  </w:r>
                </w:p>
              </w:tc>
              <w:tc>
                <w:tcPr>
                  <w:tcW w:type="dxa" w:w="720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D</w:t>
                  </w:r>
                </w:p>
              </w:tc>
              <w:tc>
                <w:tcPr>
                  <w:tcW w:type="dxa" w:w="720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5, 6, 17</w:t>
                  </w:r>
                </w:p>
              </w:tc>
            </w:tr>
            <w:tr>
              <w:tc>
                <w:tcPr>
                  <w:tcW w:type="dxa" w:w="4392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MSFT rate: $17,392.9M ÷ 5 yrs ÷ 240 IT</w:t>
                  </w:r>
                </w:p>
              </w:tc>
              <w:tc>
                <w:tcPr>
                  <w:tcW w:type="dxa" w:w="1368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$14.5M/MW-yr</w:t>
                  </w:r>
                </w:p>
              </w:tc>
              <w:tc>
                <w:tcPr>
                  <w:tcW w:type="dxa" w:w="720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D</w:t>
                  </w:r>
                </w:p>
              </w:tc>
              <w:tc>
                <w:tcPr>
                  <w:tcW w:type="dxa" w:w="720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4, 17</w:t>
                  </w:r>
                </w:p>
              </w:tc>
            </w:tr>
            <w:tr>
              <w:tc>
                <w:tcPr>
                  <w:tcW w:type="dxa" w:w="4392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Vineland FY27 billed, v0.9e engine ($2,643.8M ÷ $14.5M)</w:t>
                  </w:r>
                </w:p>
              </w:tc>
              <w:tc>
                <w:tcPr>
                  <w:tcW w:type="dxa" w:w="1368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182.3 MW-yr</w:t>
                  </w:r>
                </w:p>
              </w:tc>
              <w:tc>
                <w:tcPr>
                  <w:tcW w:type="dxa" w:w="720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D</w:t>
                  </w:r>
                </w:p>
              </w:tc>
              <w:tc>
                <w:tcPr>
                  <w:tcW w:type="dxa" w:w="720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17</w:t>
                  </w:r>
                </w:p>
              </w:tc>
            </w:tr>
            <w:tr>
              <w:tc>
                <w:tcPr>
                  <w:tcW w:type="dxa" w:w="4392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Case B, Bloom slips 2Q: 2027 rev $1,159.5M → $193.3M</w:t>
                  </w:r>
                </w:p>
              </w:tc>
              <w:tc>
                <w:tcPr>
                  <w:tcW w:type="dxa" w:w="1368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−$966M @ ~35%</w:t>
                  </w:r>
                </w:p>
              </w:tc>
              <w:tc>
                <w:tcPr>
                  <w:tcW w:type="dxa" w:w="720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D; p E</w:t>
                  </w:r>
                </w:p>
              </w:tc>
              <w:tc>
                <w:tcPr>
                  <w:tcW w:type="dxa" w:w="720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17</w:t>
                  </w:r>
                </w:p>
              </w:tc>
            </w:tr>
          </w:tbl>
          <w:p>
            <w:pPr>
              <w:spacing w:before="0" w:after="0" w:lineRule="exact" w:line="40"/>
            </w:pPr>
          </w:p>
        </w:tc>
        <w:tc>
          <w:tcPr>
            <w:tcW w:type="dxa" w:w="7344"/>
          </w:tcPr>
          <w:p>
            <w:pPr>
              <w:spacing w:after="20" w:before="0"/>
            </w:pPr>
            <w:r>
              <w:rPr>
                <w:b/>
                <w:sz w:val="19"/>
              </w:rPr>
              <w:t>3. Bloom fuel-cell timing: no evidence as of Oct 8</w:t>
            </w:r>
          </w:p>
          <w:tbl>
            <w:tblPr>
              <w:tblStyle w:val="TableGrid"/>
              <w:tblW w:type="dxa" w:w="7200"/>
              <w:tblLayout w:type="fixed"/>
              <w:tblLook w:firstColumn="1" w:firstRow="1" w:lastColumn="0" w:lastRow="0" w:noHBand="0" w:noVBand="1" w:val="04A0"/>
              <w:tblCellMar>
                <w:left w:w="40" w:type="dxa"/>
                <w:right w:w="40" w:type="dxa"/>
                <w:top w:w="0" w:type="dxa"/>
                <w:bottom w:w="0" w:type="dxa"/>
              </w:tblCellMar>
              <w:tblLayout w:type="fixed"/>
            </w:tblPr>
            <w:tblGrid>
              <w:gridCol w:w="2088"/>
              <w:gridCol w:w="3671"/>
              <w:gridCol w:w="835"/>
              <w:gridCol w:w="604"/>
            </w:tblGrid>
            <w:tr>
              <w:tc>
                <w:tcPr>
                  <w:tcW w:type="dxa" w:w="2088"/>
                  <w:shd w:val="clear" w:color="auto" w:fill="D9E2F3"/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Bloom check (T5–T9)</w:t>
                  </w:r>
                </w:p>
              </w:tc>
              <w:tc>
                <w:tcPr>
                  <w:tcW w:type="dxa" w:w="3672"/>
                  <w:shd w:val="clear" w:color="auto" w:fill="D9E2F3"/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Finding</w:t>
                  </w:r>
                </w:p>
              </w:tc>
              <w:tc>
                <w:tcPr>
                  <w:tcW w:type="dxa" w:w="835"/>
                  <w:shd w:val="clear" w:color="auto" w:fill="D9E2F3"/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Tag</w:t>
                  </w:r>
                </w:p>
              </w:tc>
              <w:tc>
                <w:tcPr>
                  <w:tcW w:type="dxa" w:w="605"/>
                  <w:shd w:val="clear" w:color="auto" w:fill="D9E2F3"/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Src</w:t>
                  </w:r>
                </w:p>
              </w:tc>
            </w:tr>
            <w:tr>
              <w:tc>
                <w:tcPr>
                  <w:tcW w:type="dxa" w:w="2088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Delivery/install/interconnect</w:t>
                  </w:r>
                </w:p>
              </w:tc>
              <w:tc>
                <w:tcPr>
                  <w:tcW w:type="dxa" w:w="3672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None found as of Oct 8 (no press after Oct 5)</w:t>
                  </w:r>
                </w:p>
              </w:tc>
              <w:tc>
                <w:tcPr>
                  <w:tcW w:type="dxa" w:w="835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R absence</w:t>
                  </w:r>
                </w:p>
              </w:tc>
              <w:tc>
                <w:tcPr>
                  <w:tcW w:type="dxa" w:w="605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8,10,15</w:t>
                  </w:r>
                </w:p>
              </w:tc>
            </w:tr>
            <w:tr>
              <w:tc>
                <w:tcPr>
                  <w:tcW w:type="dxa" w:w="2088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Aug 10 stop order (Bloom)</w:t>
                  </w:r>
                </w:p>
              </w:tc>
              <w:tc>
                <w:tcPr>
                  <w:tcW w:type="dxa" w:w="3672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No public lift; site plan approved 8-1 on Aug 17</w:t>
                  </w:r>
                </w:p>
              </w:tc>
              <w:tc>
                <w:tcPr>
                  <w:tcW w:type="dxa" w:w="835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R; R abs.</w:t>
                  </w:r>
                </w:p>
              </w:tc>
              <w:tc>
                <w:tcPr>
                  <w:tcW w:type="dxa" w:w="605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7, 8</w:t>
                  </w:r>
                </w:p>
              </w:tc>
            </w:tr>
            <w:tr>
              <w:tc>
                <w:tcPr>
                  <w:tcW w:type="dxa" w:w="2088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Bloom NJDEP permit</w:t>
                  </w:r>
                </w:p>
              </w:tc>
              <w:tc>
                <w:tcPr>
                  <w:tcW w:type="dxa" w:w="3672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None found (DataOne claims approvals; unverified)</w:t>
                  </w:r>
                </w:p>
              </w:tc>
              <w:tc>
                <w:tcPr>
                  <w:tcW w:type="dxa" w:w="835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R absence</w:t>
                  </w:r>
                </w:p>
              </w:tc>
              <w:tc>
                <w:tcPr>
                  <w:tcW w:type="dxa" w:w="605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8, 15</w:t>
                  </w:r>
                </w:p>
              </w:tc>
            </w:tr>
            <w:tr>
              <w:tc>
                <w:tcPr>
                  <w:tcW w:type="dxa" w:w="2088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Bloom Q2 PR; $1.7B IDF</w:t>
                  </w:r>
                </w:p>
              </w:tc>
              <w:tc>
                <w:tcPr>
                  <w:tcW w:type="dxa" w:w="3672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Jul 28 / Jul 16: no Vineland, COD or delivery date</w:t>
                  </w:r>
                </w:p>
              </w:tc>
              <w:tc>
                <w:tcPr>
                  <w:tcW w:type="dxa" w:w="835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R</w:t>
                  </w:r>
                </w:p>
              </w:tc>
              <w:tc>
                <w:tcPr>
                  <w:tcW w:type="dxa" w:w="605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9, 10</w:t>
                  </w:r>
                </w:p>
              </w:tc>
            </w:tr>
            <w:tr>
              <w:tc>
                <w:tcPr>
                  <w:tcW w:type="dxa" w:w="2088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Sentinel-2 Oct 6 v Sep 8</w:t>
                  </w:r>
                </w:p>
              </w:tc>
              <w:tc>
                <w:tcPr>
                  <w:tcW w:type="dxa" w:w="3672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+0.56 ha dark area (1.27→1.83); roof vs pad unresolvable at 10 m: NOT Bloom evidence</w:t>
                  </w:r>
                </w:p>
              </w:tc>
              <w:tc>
                <w:tcPr>
                  <w:tcW w:type="dxa" w:w="835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D; read E</w:t>
                  </w:r>
                </w:p>
              </w:tc>
              <w:tc>
                <w:tcPr>
                  <w:tcW w:type="dxa" w:w="605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16</w:t>
                  </w:r>
                </w:p>
              </w:tc>
            </w:tr>
            <w:tr>
              <w:tc>
                <w:tcPr>
                  <w:tcW w:type="dxa" w:w="2088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Bloom Q3'26 results</w:t>
                  </w:r>
                </w:p>
              </w:tc>
              <w:tc>
                <w:tcPr>
                  <w:tcW w:type="dxa" w:w="3672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Oct 27, 2026 (third-party calendar; not on IR)</w:t>
                  </w:r>
                </w:p>
              </w:tc>
              <w:tc>
                <w:tcPr>
                  <w:tcW w:type="dxa" w:w="835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E</w:t>
                  </w:r>
                </w:p>
              </w:tc>
              <w:tc>
                <w:tcPr>
                  <w:tcW w:type="dxa" w:w="605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11</w:t>
                  </w:r>
                </w:p>
              </w:tc>
            </w:tr>
          </w:tbl>
          <w:p>
            <w:pPr>
              <w:spacing w:before="0" w:after="0" w:lineRule="exact" w:line="40"/>
            </w:pPr>
          </w:p>
          <w:p>
            <w:pPr>
              <w:spacing w:after="20" w:before="60"/>
            </w:pPr>
            <w:r>
              <w:rPr>
                <w:b/>
                <w:sz w:val="19"/>
              </w:rPr>
              <w:t>4. NJDEP / permitting window (PI 75894)</w:t>
            </w:r>
          </w:p>
          <w:tbl>
            <w:tblPr>
              <w:tblStyle w:val="TableGrid"/>
              <w:tblW w:type="dxa" w:w="7200"/>
              <w:tblLayout w:type="fixed"/>
              <w:tblLook w:firstColumn="1" w:firstRow="1" w:lastColumn="0" w:lastRow="0" w:noHBand="0" w:noVBand="1" w:val="04A0"/>
              <w:tblCellMar>
                <w:left w:w="40" w:type="dxa"/>
                <w:right w:w="40" w:type="dxa"/>
                <w:top w:w="0" w:type="dxa"/>
                <w:bottom w:w="0" w:type="dxa"/>
              </w:tblCellMar>
              <w:tblLayout w:type="fixed"/>
            </w:tblPr>
            <w:tblGrid>
              <w:gridCol w:w="979"/>
              <w:gridCol w:w="4608"/>
              <w:gridCol w:w="820"/>
              <w:gridCol w:w="792"/>
            </w:tblGrid>
            <w:tr>
              <w:tc>
                <w:tcPr>
                  <w:tcW w:type="dxa" w:w="979"/>
                  <w:shd w:val="clear" w:color="auto" w:fill="D9E2F3"/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Date (ET)</w:t>
                  </w:r>
                </w:p>
              </w:tc>
              <w:tc>
                <w:tcPr>
                  <w:tcW w:type="dxa" w:w="4608"/>
                  <w:shd w:val="clear" w:color="auto" w:fill="D9E2F3"/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NJDEP / permitting item</w:t>
                  </w:r>
                </w:p>
              </w:tc>
              <w:tc>
                <w:tcPr>
                  <w:tcW w:type="dxa" w:w="821"/>
                  <w:shd w:val="clear" w:color="auto" w:fill="D9E2F3"/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Tag</w:t>
                  </w:r>
                </w:p>
              </w:tc>
              <w:tc>
                <w:tcPr>
                  <w:tcW w:type="dxa" w:w="792"/>
                  <w:shd w:val="clear" w:color="auto" w:fill="D9E2F3"/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Src</w:t>
                  </w:r>
                </w:p>
              </w:tc>
            </w:tr>
            <w:tr>
              <w:tc>
                <w:tcPr>
                  <w:tcW w:type="dxa" w:w="979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Sep 22</w:t>
                  </w:r>
                </w:p>
              </w:tc>
              <w:tc>
                <w:tcPr>
                  <w:tcW w:type="dxa" w:w="4608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$1,072,000 penalty order: 62 unpermitted CAT G3516H (1,982 kW)</w:t>
                  </w:r>
                </w:p>
              </w:tc>
              <w:tc>
                <w:tcPr>
                  <w:tcW w:type="dxa" w:w="821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R</w:t>
                  </w:r>
                </w:p>
              </w:tc>
              <w:tc>
                <w:tcPr>
                  <w:tcW w:type="dxa" w:w="792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5</w:t>
                  </w:r>
                </w:p>
              </w:tc>
            </w:tr>
            <w:tr>
              <w:tc>
                <w:tcPr>
                  <w:tcW w:type="dxa" w:w="979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As of Oct 8</w:t>
                  </w:r>
                </w:p>
              </w:tc>
              <w:tc>
                <w:tcPr>
                  <w:tcW w:type="dxa" w:w="4608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Genset PCP / operating-cert application: none found (DataOne "will apply", Sep 23); no hearing request reported</w:t>
                  </w:r>
                </w:p>
              </w:tc>
              <w:tc>
                <w:tcPr>
                  <w:tcW w:type="dxa" w:w="821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R absence</w:t>
                  </w:r>
                </w:p>
              </w:tc>
              <w:tc>
                <w:tcPr>
                  <w:tcW w:type="dxa" w:w="792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5,8,14,15</w:t>
                  </w:r>
                </w:p>
              </w:tc>
            </w:tr>
            <w:tr>
              <w:tc>
                <w:tcPr>
                  <w:tcW w:type="dxa" w:w="979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As of Oct 8</w:t>
                  </w:r>
                </w:p>
              </w:tc>
              <w:tc>
                <w:tcPr>
                  <w:tcW w:type="dxa" w:w="4608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Aug 10 stop-construction order: not lifted in any public record</w:t>
                  </w:r>
                </w:p>
              </w:tc>
              <w:tc>
                <w:tcPr>
                  <w:tcW w:type="dxa" w:w="821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R absence</w:t>
                  </w:r>
                </w:p>
              </w:tc>
              <w:tc>
                <w:tcPr>
                  <w:tcW w:type="dxa" w:w="792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7</w:t>
                  </w:r>
                </w:p>
              </w:tc>
            </w:tr>
            <w:tr>
              <w:tc>
                <w:tcPr>
                  <w:tcW w:type="dxa" w:w="979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~Oct 12–15</w:t>
                  </w:r>
                </w:p>
              </w:tc>
              <w:tc>
                <w:tcPr>
                  <w:tcW w:type="dxa" w:w="4608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Hearing-request deadline (20 days after receipt; receipt date n/d)</w:t>
                  </w:r>
                </w:p>
              </w:tc>
              <w:tc>
                <w:tcPr>
                  <w:tcW w:type="dxa" w:w="821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D</w:t>
                  </w:r>
                </w:p>
              </w:tc>
              <w:tc>
                <w:tcPr>
                  <w:tcW w:type="dxa" w:w="792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14</w:t>
                  </w:r>
                </w:p>
              </w:tc>
            </w:tr>
            <w:tr>
              <w:tc>
                <w:tcPr>
                  <w:tcW w:type="dxa" w:w="979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Oct 14</w:t>
                  </w:r>
                </w:p>
              </w:tc>
              <w:tc>
                <w:tcPr>
                  <w:tcW w:type="dxa" w:w="4608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Planning Board agenda (posted Oct 7): no DataOne item/resolution</w:t>
                  </w:r>
                </w:p>
              </w:tc>
              <w:tc>
                <w:tcPr>
                  <w:tcW w:type="dxa" w:w="821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R</w:t>
                  </w:r>
                </w:p>
              </w:tc>
              <w:tc>
                <w:tcPr>
                  <w:tcW w:type="dxa" w:w="792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13</w:t>
                  </w:r>
                </w:p>
              </w:tc>
            </w:tr>
            <w:tr>
              <w:tc>
                <w:tcPr>
                  <w:tcW w:type="dxa" w:w="979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Oct–Nov</w:t>
                  </w:r>
                </w:p>
              </w:tc>
              <w:tc>
                <w:tcPr>
                  <w:tcW w:type="dxa" w:w="4608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Nebius Q3'26: late Oct–mid Nov (Oct 22 or Nov 10 per third-party calendars; not company-announced)</w:t>
                  </w:r>
                </w:p>
              </w:tc>
              <w:tc>
                <w:tcPr>
                  <w:tcW w:type="dxa" w:w="821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E</w:t>
                  </w:r>
                </w:p>
              </w:tc>
              <w:tc>
                <w:tcPr>
                  <w:tcW w:type="dxa" w:w="792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12</w:t>
                  </w:r>
                </w:p>
              </w:tc>
            </w:tr>
            <w:tr>
              <w:tc>
                <w:tcPr>
                  <w:tcW w:type="dxa" w:w="979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~Nov 6–9</w:t>
                  </w:r>
                </w:p>
              </w:tc>
              <w:tc>
                <w:tcPr>
                  <w:tcW w:type="dxa" w:w="4608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45-day deadline to submit genset applications (Nov 9 if mailed) or stop</w:t>
                  </w:r>
                </w:p>
              </w:tc>
              <w:tc>
                <w:tcPr>
                  <w:tcW w:type="dxa" w:w="821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D</w:t>
                  </w:r>
                </w:p>
              </w:tc>
              <w:tc>
                <w:tcPr>
                  <w:tcW w:type="dxa" w:w="792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5</w:t>
                  </w:r>
                </w:p>
              </w:tc>
            </w:tr>
            <w:tr>
              <w:tc>
                <w:tcPr>
                  <w:tcW w:type="dxa" w:w="979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As of Oct 8</w:t>
                  </w:r>
                </w:p>
              </w:tc>
              <w:tc>
                <w:tcPr>
                  <w:tcW w:type="dxa" w:w="4608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NJ BPU: no DataOne / Vineland docket (VMEU not BPU-regulated)</w:t>
                  </w:r>
                </w:p>
              </w:tc>
              <w:tc>
                <w:tcPr>
                  <w:tcW w:type="dxa" w:w="821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R absence</w:t>
                  </w:r>
                </w:p>
              </w:tc>
              <w:tc>
                <w:tcPr>
                  <w:tcW w:type="dxa" w:w="792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15</w:t>
                  </w:r>
                </w:p>
              </w:tc>
            </w:tr>
          </w:tbl>
          <w:p>
            <w:pPr>
              <w:spacing w:before="0" w:after="0" w:lineRule="exact" w:line="40"/>
            </w:pPr>
          </w:p>
          <w:p>
            <w:pPr>
              <w:spacing w:after="0" w:before="60"/>
            </w:pPr>
            <w:r>
              <w:rPr>
                <w:b/>
                <w:sz w:val="18"/>
              </w:rPr>
              <w:t xml:space="preserve">What would change our view: </w:t>
            </w:r>
            <w:r>
              <w:rPr>
                <w:b w:val="0"/>
                <w:sz w:val="18"/>
              </w:rPr>
              <w:t>(1) Oct 27 Bloom Q3 call [E] or the Nebius Q3 letter (may precede the NJDEP deadline): Vineland delivery/COD, 5+ tranches, or a lift of the Aug 10 order cuts Case B odds; delay talk raises them [11, 12]. (2) ~Nov 6–9 NJDEP filing: an application lowers T1–T4 (~107 IT) shutdown risk; no filing makes the cease order live [5].</w:t>
            </w:r>
          </w:p>
        </w:tc>
      </w:tr>
    </w:tbl>
    <w:p>
      <w:pPr>
        <w:spacing w:after="0" w:before="60"/>
      </w:pPr>
      <w:r>
        <w:rPr>
          <w:b/>
          <w:color w:val="404040"/>
          <w:sz w:val="16"/>
        </w:rPr>
        <w:t xml:space="preserve">Sources: </w:t>
      </w:r>
      <w:r>
        <w:rPr>
          <w:b w:val="0"/>
          <w:color w:val="404040"/>
          <w:sz w:val="16"/>
        </w:rPr>
        <w:t>[1] Nebius FY25 20-F (Apr 30 2026) www.sec.gov/Archives/edgar/data/1513845/000110465926052948/nbis-20251231x20f.htm · [2] Nebius Q2'26 letter (Aug 12 2026) assets.nebius.com/assets/4462517b-ce83-41f2-96ed-f2ac1bc06a05/SHLQ226%20%281%29.pdf ; Q2'26 call stockanalysis.com/stocks/nbis/transcripts/655490-q2-2026/ · [3] Nebius Q2'25 www.sec.gov/Archives/edgar/data/1513845/000110465925075028/tm2522866d1_ex99-2.htm ; Q3'25 www.sec.gov/Archives/edgar/data/1513845/000110465925109806/tm2530882d1_ex99-2.htm ; Q1'26 assets.nebius.com/assets/aa1bc2e6-df83-40cd-a6a2-95e7cda3d16c/Nebius%20SHL_Q1%202026.pdf · [4] Nebius 6-K, Microsoft $17.4B (Sep 8 2025) www.sec.gov/Archives/edgar/data/1513845/000110465925088312/tm2525580d1_6k.htm · [5] NJDEP order dep.nj.gov/wp-content/uploads/newsrel/2026/dataone75894-aonocapa.pdf ; www.nj.gov/governor/news/2026/20260922a.shtml ; ENR Sep 23 www.enr.com/articles/63694-nj-fines-data-center-1m-over-123-mw-of-unpermitted-generation · [6] Genset history: www.enr.com/articles/63695-inside-the-vineland-data-center-power-dispute ; newjerseymonitor.com/2026/10/01/nj-data-center-polluted-air-for-nearly-a-year-before-regulators-intervened/ ; floodlightnews.org/new-jersey-dataones-illegal-still-running/ · [7] Stop orders: hntrbrk.com/breaking-news/vineland ; whyy.org/articles/vineland-data-center-stop-work-orders/ · [8] WHYY: whyy.org/articles/vineland-planning-board-approves-data-center-plan/ ; whyy.org/articles/vineland-data-center-fined/ · [9] Nebius–Bloom nebius.com/newsroom/nebius-and-bloom-energy-partner-to-power-ai-infrastructure-build-out ; IDF/Oaktree www.prnewswire.com/news-releases/industrial-development-funding-and-oaktree-announce-1-7-billion-project-investment-in-bloom-energy-fuel-cells-for-nebius-ai-infrastructure-build-out-302827566.html · [10] Bloom Q2'26 investor.bloomenergy.com/press-releases/press-release-details/2026/Bloom-Energy-Reports-Record-Second-Quarter-2026-Financial-Results-and-Raises-Full-Year-2026-Guidance/default.aspx · [11] www.marketbeat.com/earnings/reports/2026-10-27-bloom-energy-co-stock/ · [12] www.akrostec.com/indices/A100PAM/events/2026-10-22t00-00-00z-nebius-group-n-v-nbis-financial-results-da3e72aa ; earnings.fru.dev/companies/nebius · [13] www.vinelandcity.org/Archive/Planning%20Board/Agendas/2026/Agenda%2010-14-26%20.pdf ; Council vinelandnj.api.civicclerk.com/v1/Events · [14] morristownminute.org/1-07-million-penalty-vineland-data-center/ · [15] njems.nj.gov/DataMiner ; dep.nj.gov/docminer/ ; dep.nj.gov/boss/public-notices/ (all blocked Oct 8 ~8:35 AM ET) ; publicaccess.bpu.state.nj.us/ · [16] Sentinel-2 S2C_18SVJ_20261006 (Earth Search STAC); capacity/vineland_check/oct8/vineland_s2_sep08_vs_oct06.png · [17] Team files: ye26_active_vs_connected.xlsx; nebius_capacity.xlsx v2; final_billed_vs_connected.xlsx; nebius_model.xlsx v0.9e (Judge_Slide A19, Contracts); vineland_watch.md §0b/§1c/§2; vineland_shutdown.xlsx</w:t>
      </w:r>
    </w:p>
    <w:sectPr w:rsidR="00FC693F" w:rsidRPr="0006063C" w:rsidSect="00034616">
      <w:pgSz w:w="15840" w:h="12240" w:orient="landscape"/>
      <w:pgMar w:top="432" w:right="576" w:bottom="432" w:left="576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Calibri" w:hAnsi="Calibri" w:eastAsia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