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Appendix: Filings &amp; Capital (NBIS short), Q3 watch-list and dilution / headroom</w:t>
      </w:r>
    </w:p>
    <w:p>
      <w:r>
        <w:rPr>
          <w:b/>
        </w:rPr>
        <w:t>Final for the Sunday Oct 11, 2026 pack</w:t>
      </w:r>
      <w:r>
        <w:t xml:space="preserve"> · built Fri Oct 9, 2026 (ET) · </w:t>
      </w:r>
      <w:r>
        <w:rPr>
          <w:b/>
        </w:rPr>
        <w:t>Owner:</w:t>
      </w:r>
      <w:r>
        <w:t xml:space="preserve"> Filings &amp; Capital · </w:t>
      </w:r>
      <w:r>
        <w:rPr>
          <w:b/>
        </w:rPr>
        <w:t>Public information only</w:t>
      </w:r>
    </w:p>
    <w:p>
      <w:r>
        <w:rPr>
          <w:b/>
        </w:rPr>
        <w:t>Tags:</w:t>
      </w:r>
      <w:r>
        <w:t xml:space="preserve"> </w:t>
      </w:r>
      <w:r>
        <w:rPr>
          <w:b/>
        </w:rPr>
        <w:t>[R]</w:t>
      </w:r>
      <w:r>
        <w:t xml:space="preserve"> Reported · </w:t>
      </w:r>
      <w:r>
        <w:rPr>
          <w:b/>
        </w:rPr>
        <w:t>[D]</w:t>
      </w:r>
      <w:r>
        <w:t xml:space="preserve"> Derived (math shown) · </w:t>
      </w:r>
      <w:r>
        <w:rPr>
          <w:b/>
        </w:rPr>
        <w:t>[E]</w:t>
      </w:r>
      <w:r>
        <w:t xml:space="preserve"> Estimated / team judgement · </w:t>
      </w:r>
      <w:r>
        <w:rPr>
          <w:b/>
        </w:rPr>
        <w:t>ND</w:t>
      </w:r>
      <w:r>
        <w:t xml:space="preserve"> = not disclosed.</w:t>
      </w:r>
    </w:p>
    <w:p>
      <w:r>
        <w:t xml:space="preserve">This appendix merges the frozen </w:t>
      </w:r>
      <w:r>
        <w:rPr>
          <w:rFonts w:ascii="Consolas" w:hAnsi="Consolas"/>
        </w:rPr>
        <w:t>q3_watchlist</w:t>
      </w:r>
      <w:r>
        <w:t xml:space="preserve"> (Part A) and the frozen </w:t>
      </w:r>
      <w:r>
        <w:rPr>
          <w:rFonts w:ascii="Consolas" w:hAnsi="Consolas"/>
        </w:rPr>
        <w:t>dilution_scenarios_onepager</w:t>
      </w:r>
      <w:r>
        <w:t xml:space="preserve"> (Part B) without changing any number. Part C lists the primary sources. Where Part B's 6/30 base sections differ from the v0.9e figures at its top, the v0.9e figures govern.</w:t>
      </w:r>
    </w:p>
    <w:p>
      <w:pPr>
        <w:pStyle w:val="Heading2"/>
      </w:pPr>
      <w:r>
        <w:t>Locked figures used in both parts (team locks, 10/9/26)</w:t>
      </w:r>
    </w:p>
    <w:p>
      <w:pPr>
        <w:pStyle w:val="ListBullet"/>
      </w:pPr>
      <w:r>
        <w:rPr>
          <w:b/>
        </w:rPr>
        <w:t>PT share count:</w:t>
      </w:r>
      <w:r>
        <w:t xml:space="preserve"> 358,558,306 FD for any PT below $313.46 (new Feb-30/Feb-34 notes as debt); 369,564,496 for $313.46–$324.65; 376,648,956 above $324.65 [D]. Every PT the team quotes sits in the first tier.</w:t>
      </w:r>
    </w:p>
    <w:p>
      <w:pPr>
        <w:pStyle w:val="ListBullet"/>
      </w:pPr>
      <w:r>
        <w:rPr>
          <w:b/>
        </w:rPr>
        <w:t>No-vote authority available:</w:t>
      </w:r>
      <w:r>
        <w:t xml:space="preserve"> 77.76M ≈ </w:t>
      </w:r>
      <w:r>
        <w:rPr>
          <w:b/>
        </w:rPr>
        <w:t>77.8M</w:t>
      </w:r>
      <w:r>
        <w:t xml:space="preserve"> = 64.41M AGM 20% pool + 34.42M treasury − 21.07M NVIDIA pre-funded warrant [D]. The ~97M upper case (exchange shares newly issued) is background only; settlement source ND.</w:t>
      </w:r>
    </w:p>
    <w:p>
      <w:pPr>
        <w:pStyle w:val="ListBullet"/>
      </w:pPr>
      <w:r>
        <w:rPr>
          <w:b/>
        </w:rPr>
        <w:t>Ratios are shares of authority needed ÷ 77.8M</w:t>
      </w:r>
      <w:r>
        <w:t xml:space="preserve"> (authority needed = new shares + convert reserve; Modeling v0.9e): Case (a) ~215M = 2.8×; A4 ~230M = 3.0×; D3 ~226M = 2.9×; high-path mixed routes 2.9–3.5×; Bitdeer at $24.6M ~209–213M = ~2.7×; Lambda at $21.7M ~322–326M = 4.1–4.2× [D].</w:t>
      </w:r>
    </w:p>
    <w:p>
      <w:pPr>
        <w:pStyle w:val="ListBullet"/>
      </w:pPr>
      <w:r>
        <w:rPr>
          <w:b/>
        </w:rPr>
        <w:t>Comps band:</w:t>
      </w:r>
      <w:r>
        <w:t xml:space="preserve"> $9.7–16.7M per MW </w:t>
      </w:r>
      <w:r>
        <w:rPr>
          <w:b/>
        </w:rPr>
        <w:t>as reported</w:t>
      </w:r>
      <w:r>
        <w:t xml:space="preserve"> (Lambda and Bitdeer bases unstated). Management's four Q2'26 deals: $20–25M per MW, avg TCV &gt;$1B each, MW basis and term not disclosed [R, Q2'26 letter p.3–4].</w:t>
      </w:r>
    </w:p>
    <w:p>
      <w:pPr>
        <w:pStyle w:val="ListBullet"/>
      </w:pPr>
      <w:r>
        <w:rPr>
          <w:b/>
        </w:rPr>
        <w:t>Q3 results date:</w:t>
      </w:r>
      <w:r>
        <w:t xml:space="preserve"> not company-announced as of Fri 10/9/26 8:40 AM ET (EDGAR + nebius.com newsroom). Date releases have come 12–20 days before results; a late date is treated as neutral, not a signal [D/E].</w:t>
      </w:r>
    </w:p>
    <w:p>
      <w:pPr>
        <w:pStyle w:val="Heading1"/>
      </w:pPr>
      <w:r>
        <w:t>Part A. Q3 2026 watch-list</w:t>
      </w:r>
    </w:p>
    <w:p>
      <w:r>
        <w:rPr>
          <w:b/>
        </w:rPr>
        <w:t>As of:</w:t>
      </w:r>
      <w:r>
        <w:t xml:space="preserve"> Thu Oct 8, 2026 (ET), re-keyed to model v0.9e · </w:t>
      </w:r>
      <w:r>
        <w:rPr>
          <w:b/>
        </w:rPr>
        <w:t>Owner:</w:t>
      </w:r>
      <w:r>
        <w:t xml:space="preserve"> Filings &amp; Capital · </w:t>
      </w:r>
      <w:r>
        <w:rPr>
          <w:b/>
        </w:rPr>
        <w:t>Public information only</w:t>
      </w:r>
    </w:p>
    <w:p>
      <w:r>
        <w:rPr>
          <w:b/>
        </w:rPr>
        <w:t>Tags:</w:t>
      </w:r>
      <w:r>
        <w:t xml:space="preserve"> </w:t>
      </w:r>
      <w:r>
        <w:rPr>
          <w:b/>
        </w:rPr>
        <w:t>[R]</w:t>
      </w:r>
      <w:r>
        <w:t xml:space="preserve"> Reported · </w:t>
      </w:r>
      <w:r>
        <w:rPr>
          <w:b/>
        </w:rPr>
        <w:t>[D]</w:t>
      </w:r>
      <w:r>
        <w:t xml:space="preserve"> Derived · </w:t>
      </w:r>
      <w:r>
        <w:rPr>
          <w:b/>
        </w:rPr>
        <w:t>[E]</w:t>
      </w:r>
      <w:r>
        <w:t xml:space="preserve"> Estimated / team judgement · </w:t>
      </w:r>
      <w:r>
        <w:rPr>
          <w:b/>
        </w:rPr>
        <w:t>ND</w:t>
      </w:r>
      <w:r>
        <w:t xml:space="preserve"> = not disclosed. </w:t>
      </w:r>
      <w:r>
        <w:rPr>
          <w:b/>
        </w:rPr>
        <w:t>Every threshold is a team judgement [E]</w:t>
      </w:r>
      <w:r>
        <w:t xml:space="preserve"> unless marked [D]. Team locks (v0.9e, 10/8): billed MW 257.7/284.2 YE26 and 531.8/659.2 FY27 avg; non-Microsoft hurdle ~$27.6M/MW; judge line 1 $24.51M/$20.19M per MW to clear spot $237.15; fork breaks on any ≥$20M/MW non-short-term deal with MW disclosed; comps band $9.7–16.7M/MW as reported; base FD 358,558,306 (new notes as debt below $313.46); MSFT 4 of 9 on gensets. Used as given.</w:t>
      </w:r>
    </w:p>
    <w:p>
      <w:r>
        <w:rPr>
          <w:b/>
        </w:rPr>
        <w:t>Q3 results date:</w:t>
      </w:r>
      <w:r>
        <w:t xml:space="preserve"> not company-announced as of 10/8/26 (newsroom, financials and EDGAR re-checked). Locked wording: late Oct–mid Nov (Oct 22 or Nov 10 per third-party calendars; not company-announced) [E]. Watch for the "announces date of third quarter 2026 results" PR (for Q2 it came ~3–4 weeks ahead).</w:t>
      </w:r>
    </w:p>
    <w:p>
      <w:r>
        <w:rPr>
          <w:b/>
        </w:rPr>
        <w:t>Where Q3 disclosures will land</w:t>
      </w:r>
      <w:r>
        <w:t xml:space="preserve"> (based on the Q2 pattern): 6-K with Ex.99.1 PR (financials, outstanding shares) + Ex.99.2 shareholder letter (ARR, deal economics, capacity, funding), and a separate 6-K with interim FS (RPO, deferred-revenue release, share capital/ATM, warrant, debt notes, concentration). Plus the earnings call (capex guide is call-only).</w:t>
      </w:r>
    </w:p>
    <w:p>
      <w:pPr>
        <w:pStyle w:val="Heading3"/>
      </w:pPr>
      <w:r>
        <w:t>Watch-list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Metric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Where it appears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Current value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 (current value)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Confirm-SHORT threshold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Break-SHORT threshold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 / tag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Q3'26 results date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Company 'announces date of Q3 results' PR / 6-K; nebius.com/financials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Not company-announced as of 10/8/26. Locked wording: late Oct–mid Nov (Oct 22 or Nov 10 per third-party calendars; not company-announced)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nebius.com/newsroom + /financials and EDGAR re-checked 10/8/26; earnings.fru.dev and other vendor calendars (estimates)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n/a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n/a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Capacity's vineland_watch.md now tags Nov 10 as [E] (corrected 10/5). Treat any date as [E] until the date PR.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Billing / active MW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capacity section; call; Q3 PR highlights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Active ~170 MW at YE25 [R]; Q1/Q2'26 active MW ND. Team lock (v0.9e engine-linked, 10/8): YE26 billed 257.7 base / 284.2 high; FY27 avg billed 531.8 base / 659.2 high [D] (Vineland on tranche basis, 182.3 MW-yr from the Contracts engine). Superseded: 536.5/663.8, 475/645.4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6-K 2/12/26 Q4'25 letter; capacity/final_billed_vs_connected.xlsx (locked 10/8); model/nebius_model.xlsx v0.9e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PRIMARY TEST: Microsoft tranches on permanent power still ≤4 of 9 [E]. Secondary MW test, billed or revenue-generating MW only: 9/30 billed MW plus Q4 plan pointing to YE26 billed ≤257.7 MW [E]. If the letter gives only active or connected MW (connected runs ~3× billed: 941 vs 257.7 [D]), or no MW at all, the MW test is n/a. FY27 bar only if a 2027 MW guide is given: avg billed ≤531.8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PRIMARY TEST: ≥5 of 9 Microsoft tranches on permanent power breaks the short [E]. Secondary MW test, billed or revenue-generating MW only: 9/30 billed MW plus Q4 plan consistent with YE26 billed ≥284.2 MW [E]; an active or connected figure above the path does NOT count (n/a). FY27 bar only if guided: ≥659.2 avg billed; a guide implying ≥768.75 MW breaks the MW side outright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Thresholds are the v0.9e locks. Street FY27 $12.3B at $16M/MW needs 768.75 MW = 1.45× base / 1.17× high [D]. Implied $/MW at YE26 guide: $7B/257.7 = $27.2M; $9B/284.2 = $31.7M [D]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Connected power YE26 target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capacity slide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800 MW–1 GW connected by YE26 [R]; contracted power target 5 GW [R]; &gt;1 GW/yr deployment from 2027 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6-K 5/13/26 Q1 letter p.6; Q2'26 letter (6-K 8/12/26 Ex.99.2) https://www.sec.gov/Archives/edgar/data/1513845/000110465926094568/tm2622968d1_ex99-2.htm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Target range cut or reworded, or connected actual still undisclosed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Connected actual disclosed and on track for ≥800 MW at YE26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Contracted ≠ connected ≠ billing; watch the definitions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YE26 ARR guide ($7–9B) + Sept ARR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PR/letter (ARR = Sept AI cloud revenue ×12); CFO remarks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ARR $3.0B end-June [R]; YE26 ARR guide $7–9B reaffirmed 8/12 [R call]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letter (6-K 8/12/26 Ex.99.2) https://www.sec.gov/Archives/edgar/data/1513845/000110465926094568/tm2622968d1_ex99-2.htm; Q2'26 call 8/12/26 https://stockanalysis.com/stocks/nbis/transcripts/655490-q2-2026/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Sept ARR &lt; $4.6B [E] (below the constant-growth path from $3.0B to the $7B low end: 3.0×(7/3)^0.5 = $4.58B [D]) AND/OR guide cut or reframed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Sept ARR ≥ $5.5B [E] (linear path to the $8B midpoint: 3.0 + (8−3)/2 [D]) with guide reaffirmed or raised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Team judgment [E] thresholds grounded in the guide math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FY26 revenue guide ($3.0–3.4B) / Q3 revenue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PR income statement; letter guidance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1H26 revenue $981.3M [R] → 2H needs $2,018.7–2,418.7M [D]. June run-rate × 3 = ~$750M/qtr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PR (6-K 8/12/26 Ex.99.1) https://www.sec.gov/Archives/edgar/data/1513845/000110465926094568/tm2622968d1_ex99-1.htm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revenue ≤ $850M [E] (Q4 would then need ≥ $1.17B for the low end)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revenue ≥ $1.0B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Team judgment [E]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GAAP RPO adds vs $37.5B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FS revenue note (RPO paragraph); possibly letter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RPO $37,490.6M at 6/30 [R]; 36% ≤24m / 40% 25–48m. Q1 net add +12,252.3 (Meta); Q2 net add +3,905.3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interim FS (6-K 8/12/26) https://www.sec.gov/Archives/edgar/data/1513845/000110465926094844/nbis-20260812xex99d2.htm Note 1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9/30 RPO ≤ $39.5B (net add ≤ ~$2.0B, about half Q2's pace, despite 'could sell all 2027 capacity') OR 0–24m share ≤36%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9/30 RPO ≥ $42.5B (net add ≥ $5.0B) with MW/customer disclosed, OR GAAP RPO itself ≥ $40B on firm contracts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Short-term (≤1 yr) deals are excluded from RPO by policy [R]. Don't count the $40–50M/MW short-term deals as RPO adds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'&gt;$40B' commitments language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/ call / any ABS PR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&gt;$40B 'additional contracted revenue from investment-grade customers' [R PR 7/17]; firm IG TCV ~$32.3B [D]; max incl. 'up to' ~$49.3B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backlog_rpo_reconciliation.md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&gt;$40B repeated while GAAP RPO &lt; $40B, or wording widens (e.g. adds 'potential')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Company discloses firm vs contingent split with firm ≥ $40B, OR GAAP RPO ≥ $40B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Lets the slide say: 'management's $40B &gt; GAAP $37.5B &gt; firm IG $32.3B'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Microsoft Vineland tranche status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(customers/capacity); call Q&amp;A; 6-K if a tranche is terminated or amended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Letter: 'all capacity tranches' delivered to date [R]; call: 'remaining tranches' + Bloom [R]. Team lock: 4 of 9 live on gensets; T5–T9 wait on Bloom. Planning Board approved amended Bloom/LNG plan 8/17/26 (8–1) [R news]; city stop-construction orders 8/6 and 8/10 [R news]; NJDEP order 9/22/26, $1.072M penalty, genset permit filings due ~Nov 6 [R per Capacity]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letter (6-K 8/12/26 Ex.99.2) https://www.sec.gov/Archives/edgar/data/1513845/000110465926094568/tm2622968d1_ex99-2.htm; Q2'26 call 8/12/26 https://stockanalysis.com/stocks/nbis/transcripts/655490-q2-2026/; WHYY 8/14/26; Hunterbrook 8/13/26; capacity/vineland_watch.md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silent on tranche count or Bloom energization; any SLA credits, genset curtailment after ~Nov 6, tranche termination or MSFT TCV/RPO reduction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Explicit disclosure that ≥5 of 9 tranches are billing on permanent (Bloom/grid) power, with no SLA credits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Slide: '4 of 9 Microsoft tranches live on gensets; T5–T9 wait on Bloom.' Equal-split MW is [E] (26.7 IT MW/tranche)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Deferred revenue release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FS deferred-revenue note (9M 'recognized from opening balance'); balance sheet current/non-current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Deferred $5,975.2M (current $979.4M / NC $4,995.8M = 16.4% current) [R/D]; Q2 recognized from opening $130.8M = 2.7% of $4,778.1M [R/D]; 1H $154.3M 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interim FS (6-K 8/12/26) https://www.sec.gov/Archives/edgar/data/1513845/000110465926094844/nbis-20260812xex99d2.htm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recognized from opening (9M − $154.3M) ≤ $250M (≤ ~4.2% of $5,975.2M) AND current share ≤ 16.4%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recognized from opening ≥ $400M (≥ ~6.7%) and current share ≥ 20%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Supports the 'long-dated prepay' finding. Prepay credit schedule still ND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Customer prepayments (&gt;$9B in 2026)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funding section; cash-flow statement deferred revenue change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&gt;$9B expected in 2026 [R]; derived 1H26 deferred adds = 3,224.1 + 1,327.9 = $4,552.0M [D] → ~$4.45B still needed in 2H ≈ $2.22B/qtr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letter (6-K 8/12/26 Ex.99.2) https://www.sec.gov/Archives/edgar/data/1513845/000110465926094568/tm2622968d1_ex99-2.htm; deferred_rpo_rollforward.xlsx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derived deferred adds &lt; $1.5B [E] or the &gt;$9B guide softened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derived adds ≥ $2.2B [D threshold] with &gt;$9B reaffirmed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Adds = net derived (close − open + recognized), not the cash prepay line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New signed contracts: MW and $/MW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customer section; deal PRs/6-Ks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Q2: 4 deals, avg TCV &gt;$1B, ACV $20–25M/MW, no MW disclosed [R]; Q3 short-term deals &gt;$40M/MW ($40–50M range), one signed [R]; 2026 base ~$12M/MW [R]. Comps band $9.7–16.7M/MW as reported (top: Lambda–Anthropic ~$16.7M, 6-yr, Medium, basis unstated; Nscale–Anthropic $16.2M†); Bitdeer A201 ceiling ≤$22.4M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letter (6-K 8/12/26 Ex.99.2) https://www.sec.gov/Archives/edgar/data/1513845/000110465926094568/tm2622968d1_ex99-2.htm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New deals without MW, OR disclosed mid-term ACV ≤ $16.7M/MW (top of comps band $9.7–16.7M/MW as reported)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Break test (MW disclosed, non-short-term deals, covering a material share of uncontracted MW, sized ≥100 MW or ≥$2B TCV [E]): (a) if row 2 tracks HIGH (9/30 billed MW plus Q4 plan consistent with YE26 billed ≥284.2), ACV ≥$22.7M/MW breaks (high-path solve $22.68M GB300 / $22.96M Rubin) [D]; (b) otherwise ACV ≥$24.51M/MW breaks (base solve) [D]. A single 15–20 MW print at these prices does not break the short by itself, because the solves assume all uncontracted MW reprices. Early flag, not a break: any non-short-term deal ≥$20M/MW with MW disclosed, flagged same day [E]. The non-MSFT book must average ~$27.6M/MW to reach the Street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Short-term $40M+/MW deals are ≤1 yr and small, and outside RPO by policy; don't let them stand in for mid-term pricing. To hit the Street, most non-MSFT MW would need to stay on 3–6 month paper (re-pricing/utilization bet) High path: spot needs $22.68M GB300 / $22.96M Rubin (full-model solve, 10/8) [D]; Bitdeer's ≤$22.4M ceiling (~15 MW, no named customer; MW basis unstated, ~$25M per IT MW if gross [D, team 10/8]) falls $0.28M short on an IT basis, PT $227.72 high / $177.68 base vs $237.15 [D]. Thresholds unchanged.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Payback / prepay coverage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deal-economics section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Payback 1 yr 10 mo for Q2 deals (revenue-recognition basis, excl. prepay; includes capacity not yet built) [R]; prepays cover 50–60% of capex; 70% of deals 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letter (6-K 8/12/26 Ex.99.2) https://www.sec.gov/Archives/edgar/data/1513845/000110465926094568/tm2622968d1_ex99-2.htm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Coverage &lt; 50% or payback &gt; 2 yrs, or metric dropped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Coverage ≥ 60% and payback ≤ 1 yr 10 mo, with MW disclosed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Methodology is forecast-based (footnote 3)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FY26 capex guide ($20–25B)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call (CFO); letter capital section; cash-flow statement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FY26 capex $20–25B [R call]; 1H26 purchases of PP&amp;E/intangibles $8,130.3M [R] → 2H implied $11.9–16.9B ≈ $5.9–8.4B/qtr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PR (6-K 8/12/26 Ex.99.1) https://www.sec.gov/Archives/edgar/data/1513845/000110465926094568/tm2622968d1_ex99-1.htm; Q2'26 call 8/12/26 https://stockanalysis.com/stocks/nbis/transcripts/655490-q2-2026/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Guide raised above $25B without an ARR raise (funding gap widens), OR Q3 capex &lt; $5.0B with an MW/ARR miss (capacity slip)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capex ≥ $5.9B (on guide pace) with ARR guide reaffirmed and funded without new equity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Both directions can confirm the short (funding vs slip)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ATM / equity usage + Class A count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FS share-capital note (ATM sales, remaining); PR outstanding shares; any 424B5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ATM remaining 12,270,507 at 6/30 [R]; ~zero sales 7/1–7/28 (record-date count +2,378) [D]; no new 424B5 since 11/12/25 [R]. Pro forma Class A ≈ 254,169,553 (238,400,165 + ~15,769,388 exchange)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interim FS (6-K 8/12/26) https://www.sec.gov/Archives/edgar/data/1513845/000110465926094844/nbis-20260812xex99d2.htm Note 14; post630_capital_update.md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Class A at 9/30 &gt; ~255M (≥ ~0.8M above the pro forma, net of small RSU/option deliveries), OR ATM remaining &lt; 12.27M, OR a new ATM/424B5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Class A ≈ 254.2M, ATM remaining unchanged at 12,270,507, no new program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Any Q3 ATM was sold in a $220–270 tape (Aug pricing ref $223.90 [R])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Fully diluted shares / no-vote headroom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FS (treasury, issued, if-converted EPS note)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Base FD 358,558,306 [D] (6/30 FD 358,337,958 less exchanged Jun-29/31 conversion shares plus exchange shares; new Feb-30/Feb-34 notes as DEBT, the treatment for every PT below $313.46). Tiers: 369,564,496 for PTs $313.46–$324.65; 376,648,956 above $324.65 [D]. Net no-vote headroom ~78–97M (settlement source ND)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fd_share_bridge.xlsx / .md (10/8); post630_capital_update.md; model v0.9e Drivers tab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Treasury ≤ ~34.4M at 9/30 (exchange shares came from treasury → ~78M net headroom) [E]. The ATM tell is the basic Class A count (row 14, &gt;~255M), not FD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Treasury ≈ 50.2M (exchange shares newly issued → ~97M headroom) [E]. FD 358,558,306 is the PT basis only; Q3 reports basic shares, not this figure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Funding gap: case (a) needs ~215M shares of authority = ~2.8× the ~77.8M net no-vote headroom (team lock 10/9) [D, v0.9e]. Older-note strikes $51.45 / $138.75 / $180.31 / $183.22; new $313.46 / $324.65 [R rates, D prices]. Point-in-time if-converted on the all-converted basis ≈ 68.0M; Q3 weighted-average EPS figure should be lower (~66.5M) [E]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Convert / debt raises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6-Ks (pricing/closing PRs); Q3 interim debt note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Aug-26: $5.75B converts (0.50% 2030 / 4.50% 2034) [R]; pro forma original principal ≈ $13,425M [D]; 6/30 carrying converts $8,499.0M 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6-K 8/20 and 8/24/26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Another convert, HY or corporate debt raise before YE26, or ABS priced wider than SOFR+250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≥ $2B of new ABS at ≤ SOFR+250 on contracted cash flows with no new equity/convert (validates 'borrowable backlog')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No second ABS announced through 10/5 [R: EDGAR + newsroom]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$775M facility draw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debt note / balance-sheet debt line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Signed 7/10/26, SOFR+2.50%, matures 10/31/30, DSCR 1.15x + min. liquidity [R]; drawn amount ND; 6/30 debt: current $46.7M + converts $8,499.0M 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6-K/A 7/17/26 https://www.sec.gov/Archives/edgar/data/1513845/000110465926084606/tm2620779d1_6ka.htm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Drawn &lt; $775M with no explanation, or any covenant/DSCR waiver or amendment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Fully drawn plus additional facilities on similar terms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Informational. Capture the exact balance for CapStructure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NVIDIA warrant (21,065,936 sh)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FS Note (warrant/share capital); NVIDIA 13G/A; NVIDIA Q3 13F (due ~Nov 14)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Unexercised at 6/30 [R]; 13G 7/20/26: 22,256,412 sh (9.3%), exercise/sale barred before 9/11/26 [R]; exercise subject to HSR 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interim FS (6-K 8/12/26) https://www.sec.gov/Archives/edgar/data/1513845/000110465926094844/nbis-20260812xex99d2.htm Note 14; NVIDIA 13G https://www.sec.gov/Archives/edgar/data/1513845/000104581026000062/xslSCHEDULE_13G_X01/primary_doc.xml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Exercise followed by NVIDIA reducing its holding (13G/A &lt; 22,256,412 or 13F common below it)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NVIDIA holding increases (13G/A &gt; 22,256,412) or a new strategic investment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Exercise itself is FD-neutral (already in FD and basic WASO). Matters only for treasury/headroom and signalling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Customer concentration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FS Note 1 (concentration)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Q2'26: Customer C 24% / D 21% / E 14% of revenue = 59% top-3 [R/D]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interim FS (6-K 8/12/26) https://www.sec.gov/Archives/edgar/data/1513845/000110465926094844/nbis-20260812xex99d2.htm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Top-3 ≥ 59%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Top-3 &lt; 50% with new IG logos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Customers unnamed</w:t>
            </w:r>
          </w:p>
        </w:tc>
      </w:tr>
    </w:tbl>
    <w:p/>
    <w:p>
      <w:pPr>
        <w:pStyle w:val="Heading3"/>
      </w:pPr>
      <w:r>
        <w:t>What changed on 10/8 (v0.9e re-key)</w:t>
      </w:r>
    </w:p>
    <w:p>
      <w:pPr>
        <w:pStyle w:val="ListBullet"/>
      </w:pPr>
      <w:r>
        <w:rPr>
          <w:b/>
        </w:rPr>
        <w:t>Q3'26 results date</w:t>
      </w:r>
      <w:r>
        <w:t xml:space="preserve"> (D2): Team-locked date wording (10/8).</w:t>
      </w:r>
    </w:p>
    <w:p>
      <w:pPr>
        <w:pStyle w:val="ListBullet"/>
      </w:pPr>
      <w:r>
        <w:rPr>
          <w:b/>
        </w:rPr>
        <w:t>Q3'26 results date</w:t>
      </w:r>
      <w:r>
        <w:t xml:space="preserve"> (E2): Re-check 10/8.</w:t>
      </w:r>
    </w:p>
    <w:p>
      <w:pPr>
        <w:pStyle w:val="ListBullet"/>
      </w:pPr>
      <w:r>
        <w:rPr>
          <w:b/>
        </w:rPr>
        <w:t>Q3'26 results date</w:t>
      </w:r>
      <w:r>
        <w:t xml:space="preserve"> (H2): Capacity fix applied.</w:t>
      </w:r>
    </w:p>
    <w:p>
      <w:pPr>
        <w:pStyle w:val="ListBullet"/>
      </w:pPr>
      <w:r>
        <w:rPr>
          <w:b/>
        </w:rPr>
        <w:t>Billing / active MW</w:t>
      </w:r>
      <w:r>
        <w:t xml:space="preserve"> (D3): v0.9e MW lock.</w:t>
      </w:r>
    </w:p>
    <w:p>
      <w:pPr>
        <w:pStyle w:val="ListBullet"/>
      </w:pPr>
      <w:r>
        <w:rPr>
          <w:b/>
        </w:rPr>
        <w:t>Billing / active MW</w:t>
      </w:r>
      <w:r>
        <w:t xml:space="preserve"> (E3): v0.9e.</w:t>
      </w:r>
    </w:p>
    <w:p>
      <w:pPr>
        <w:pStyle w:val="ListBullet"/>
      </w:pPr>
      <w:r>
        <w:rPr>
          <w:b/>
        </w:rPr>
        <w:t>Billing / active MW</w:t>
      </w:r>
      <w:r>
        <w:t xml:space="preserve"> (F3): 475 -&gt; 531.8 (v0.9e).</w:t>
      </w:r>
    </w:p>
    <w:p>
      <w:pPr>
        <w:pStyle w:val="ListBullet"/>
      </w:pPr>
      <w:r>
        <w:rPr>
          <w:b/>
        </w:rPr>
        <w:t>Billing / active MW</w:t>
      </w:r>
      <w:r>
        <w:t xml:space="preserve"> (G3): 645 -&gt; 659.2 (v0.9e); added 768.75 MW outright-break marker.</w:t>
      </w:r>
    </w:p>
    <w:p>
      <w:pPr>
        <w:pStyle w:val="ListBullet"/>
      </w:pPr>
      <w:r>
        <w:rPr>
          <w:b/>
        </w:rPr>
        <w:t>Billing / active MW</w:t>
      </w:r>
      <w:r>
        <w:t xml:space="preserve"> (H3): v0.9e ratios.</w:t>
      </w:r>
    </w:p>
    <w:p>
      <w:pPr>
        <w:pStyle w:val="ListBullet"/>
      </w:pPr>
      <w:r>
        <w:rPr>
          <w:b/>
        </w:rPr>
        <w:t>New signed contracts: MW and $/MW</w:t>
      </w:r>
      <w:r>
        <w:t xml:space="preserve"> (D12): Band widened to $16.7M (10/8).</w:t>
      </w:r>
    </w:p>
    <w:p>
      <w:pPr>
        <w:pStyle w:val="ListBullet"/>
      </w:pPr>
      <w:r>
        <w:rPr>
          <w:b/>
        </w:rPr>
        <w:t>New signed contracts: MW and $/MW</w:t>
      </w:r>
      <w:r>
        <w:t xml:space="preserve"> (F12): $16.2M -&gt; $16.7M (Lambda–Anthropic).</w:t>
      </w:r>
    </w:p>
    <w:p>
      <w:pPr>
        <w:pStyle w:val="ListBullet"/>
      </w:pPr>
      <w:r>
        <w:rPr>
          <w:b/>
        </w:rPr>
        <w:t>New signed contracts: MW and $/MW</w:t>
      </w:r>
      <w:r>
        <w:t xml:space="preserve"> (G12): ≥$22–24M -&gt; tiered: ≥$20M fork-break / ≥$24.51M clears spot / ~$27.6M non-MSFT book average.</w:t>
      </w:r>
    </w:p>
    <w:p>
      <w:pPr>
        <w:pStyle w:val="ListBullet"/>
      </w:pPr>
      <w:r>
        <w:rPr>
          <w:b/>
        </w:rPr>
        <w:t>New signed contracts: MW and $/MW</w:t>
      </w:r>
      <w:r>
        <w:t xml:space="preserve"> (H12): v0.9e duration line.</w:t>
      </w:r>
    </w:p>
    <w:p>
      <w:pPr>
        <w:pStyle w:val="ListBullet"/>
      </w:pPr>
      <w:r>
        <w:rPr>
          <w:b/>
        </w:rPr>
        <w:t>Fully diluted shares / no-vote headroom</w:t>
      </w:r>
      <w:r>
        <w:t xml:space="preserve"> (D16): Base FD 376.6M -&gt; 358.56M (debt convention, v0.9e).</w:t>
      </w:r>
    </w:p>
    <w:p>
      <w:pPr>
        <w:pStyle w:val="ListBullet"/>
      </w:pPr>
      <w:r>
        <w:rPr>
          <w:b/>
        </w:rPr>
        <w:t>Fully diluted shares / no-vote headroom</w:t>
      </w:r>
      <w:r>
        <w:t xml:space="preserve"> (E16): 10/8 bridge.</w:t>
      </w:r>
    </w:p>
    <w:p>
      <w:pPr>
        <w:pStyle w:val="ListBullet"/>
      </w:pPr>
      <w:r>
        <w:rPr>
          <w:b/>
        </w:rPr>
        <w:t>Fully diluted shares / no-vote headroom</w:t>
      </w:r>
      <w:r>
        <w:t xml:space="preserve"> (F16): ~377M -&gt; ~359.4M (debt basis).</w:t>
      </w:r>
    </w:p>
    <w:p>
      <w:pPr>
        <w:pStyle w:val="ListBullet"/>
      </w:pPr>
      <w:r>
        <w:rPr>
          <w:b/>
        </w:rPr>
        <w:t>Fully diluted shares / no-vote headroom</w:t>
      </w:r>
      <w:r>
        <w:t xml:space="preserve"> (G16): 376.6M -&gt; 358.56M.</w:t>
      </w:r>
    </w:p>
    <w:p>
      <w:pPr>
        <w:pStyle w:val="ListBullet"/>
      </w:pPr>
      <w:r>
        <w:rPr>
          <w:b/>
        </w:rPr>
        <w:t>Fully diluted shares / no-vote headroom</w:t>
      </w:r>
      <w:r>
        <w:t xml:space="preserve"> (H16): v0.9e funding gap and strikes.</w:t>
      </w:r>
    </w:p>
    <w:p>
      <w:r>
        <w:t>Rows not tied to the model (ARR, revenue, RPO, deferred release, prepays, payback, capex, ATM, facility, warrant, concentration) are unchanged; they come from guidance math and still apply.</w:t>
      </w:r>
    </w:p>
    <w:p>
      <w:r>
        <w:rPr>
          <w:b/>
        </w:rPr>
        <w:t>v0.9e PTs</w:t>
      </w:r>
      <w:r>
        <w:t xml:space="preserve"> (spot $237.15): base $0, stop-building $13.21, A4 $223, D3 $281 (Judge basis, scenario only; old $217.0 / $273.7 were one-price, retired 10/8), bull $400.5 (only if-converted case) [D, Modeling].</w:t>
      </w:r>
    </w:p>
    <w:p>
      <w:pPr>
        <w:pStyle w:val="Heading3"/>
      </w:pPr>
      <w:r>
        <w:t>Top 5 to read first on results day</w:t>
      </w:r>
    </w:p>
    <w:p>
      <w:pPr>
        <w:pStyle w:val="ListNumber"/>
      </w:pPr>
      <w:r>
        <w:rPr>
          <w:b/>
        </w:rPr>
        <w:t>Sept ARR vs $4.6B / $5.5B</w:t>
      </w:r>
      <w:r>
        <w:t xml:space="preserve"> and whether the </w:t>
      </w:r>
      <w:r>
        <w:rPr>
          <w:b/>
        </w:rPr>
        <w:t>$7–9B YE26 ARR</w:t>
      </w:r>
      <w:r>
        <w:t xml:space="preserve"> guide holds [E thresholds].</w:t>
      </w:r>
    </w:p>
    <w:p>
      <w:pPr>
        <w:pStyle w:val="ListNumber"/>
      </w:pPr>
      <w:r>
        <w:rPr>
          <w:b/>
        </w:rPr>
        <w:t>Microsoft tranches on permanent power (primary), then billed MW only.</w:t>
      </w:r>
      <w:r>
        <w:t xml:space="preserve"> ≤4 of 9 confirms, ≥5 breaks. Compare only a billed or revenue-generating 9/30 figure with the </w:t>
      </w:r>
      <w:r>
        <w:rPr>
          <w:b/>
        </w:rPr>
        <w:t>257.7 / 284.2</w:t>
      </w:r>
      <w:r>
        <w:t xml:space="preserve"> YE26 path; an active or connected figure, or silence, makes the MW test n/a. </w:t>
      </w:r>
      <w:r>
        <w:rPr>
          <w:b/>
        </w:rPr>
        <w:t>531.8 / 659.2</w:t>
      </w:r>
      <w:r>
        <w:t xml:space="preserve"> applies only to a 2027 guide.</w:t>
      </w:r>
    </w:p>
    <w:p>
      <w:pPr>
        <w:pStyle w:val="ListNumber"/>
      </w:pPr>
      <w:r>
        <w:rPr>
          <w:b/>
        </w:rPr>
        <w:t>RPO at 9/30 vs $37.5B</w:t>
      </w:r>
      <w:r>
        <w:t xml:space="preserve"> (≤$39.5B confirm / ≥$42.5B break) and whether "&gt;$40B" is still quoted.</w:t>
      </w:r>
    </w:p>
    <w:p>
      <w:pPr>
        <w:pStyle w:val="ListNumber"/>
      </w:pPr>
      <w:r>
        <w:rPr>
          <w:b/>
        </w:rPr>
        <w:t>Class A count vs ~254.2M pro forma</w:t>
      </w:r>
      <w:r>
        <w:t xml:space="preserve"> (debt-basis FD 358.56M) and </w:t>
      </w:r>
      <w:r>
        <w:rPr>
          <w:b/>
        </w:rPr>
        <w:t>ATM remaining vs 12,270,507</w:t>
      </w:r>
      <w:r>
        <w:t>. Any gap means equity was used.</w:t>
      </w:r>
    </w:p>
    <w:p>
      <w:pPr>
        <w:pStyle w:val="ListNumber"/>
      </w:pPr>
      <w:r>
        <w:rPr>
          <w:b/>
        </w:rPr>
        <w:t>Any new deal with MW disclosed at ≥$20M/MW</w:t>
      </w:r>
      <w:r>
        <w:t xml:space="preserve"> (fork break) and </w:t>
      </w:r>
      <w:r>
        <w:rPr>
          <w:b/>
        </w:rPr>
        <w:t>Microsoft tranche language.</w:t>
      </w:r>
      <w:r>
        <w:t xml:space="preserve"> Count of tranches on permanent power, SLA credits, and the NJDEP genset deadline (~Nov 6) landing days before results.</w:t>
      </w:r>
    </w:p>
    <w:p>
      <w:pPr>
        <w:pStyle w:val="Heading3"/>
      </w:pPr>
      <w:r>
        <w:t>Source files</w:t>
      </w:r>
    </w:p>
    <w:p>
      <w:pPr>
        <w:pStyle w:val="ListBullet"/>
      </w:pPr>
      <w:r>
        <w:rPr>
          <w:rFonts w:ascii="Consolas" w:hAnsi="Consolas"/>
        </w:rPr>
        <w:t>fd_share_bridge.md</w:t>
      </w:r>
      <w:r>
        <w:t xml:space="preserve"> / </w:t>
      </w:r>
      <w:r>
        <w:rPr>
          <w:rFonts w:ascii="Consolas" w:hAnsi="Consolas"/>
        </w:rPr>
        <w:t>post630_capital_update.md</w:t>
      </w:r>
      <w:r>
        <w:t xml:space="preserve"> (share count / FD / headroom math) · </w:t>
      </w:r>
      <w:r>
        <w:rPr>
          <w:rFonts w:ascii="Consolas" w:hAnsi="Consolas"/>
        </w:rPr>
        <w:t>backlog_rpo_reconciliation.md</w:t>
      </w:r>
      <w:r>
        <w:t xml:space="preserve"> · </w:t>
      </w:r>
      <w:r>
        <w:rPr>
          <w:rFonts w:ascii="Consolas" w:hAnsi="Consolas"/>
        </w:rPr>
        <w:t>deferred_rpo_note.md</w:t>
      </w:r>
      <w:r>
        <w:t xml:space="preserve"> · </w:t>
      </w:r>
      <w:r>
        <w:rPr>
          <w:rFonts w:ascii="Consolas" w:hAnsi="Consolas"/>
        </w:rPr>
        <w:t>capacity/site_tracker_wed.md</w:t>
      </w:r>
      <w:r>
        <w:t xml:space="preserve"> · </w:t>
      </w:r>
      <w:r>
        <w:rPr>
          <w:rFonts w:ascii="Consolas" w:hAnsi="Consolas"/>
        </w:rPr>
        <w:t>capacity/vineland_watch.md</w:t>
      </w:r>
      <w:r>
        <w:t xml:space="preserve"> · </w:t>
      </w:r>
      <w:r>
        <w:rPr>
          <w:rFonts w:ascii="Consolas" w:hAnsi="Consolas"/>
        </w:rPr>
        <w:t>nebius_fact_base.md</w:t>
      </w:r>
    </w:p>
    <w:p>
      <w:pPr>
        <w:pStyle w:val="ListBullet"/>
      </w:pPr>
      <w:r>
        <w:t xml:space="preserve">Companion workbook: </w:t>
      </w:r>
      <w:r>
        <w:rPr>
          <w:rFonts w:ascii="Consolas" w:hAnsi="Consolas"/>
        </w:rPr>
        <w:t>q3_watchlist.xlsx</w:t>
      </w:r>
      <w:r>
        <w:t xml:space="preserve"> (one row per metric, same columns)</w:t>
      </w:r>
    </w:p>
    <w:p>
      <w:r>
        <w:rPr>
          <w:b/>
        </w:rPr>
        <w:t>Second re-cut (10/8, after Skeptic):</w:t>
      </w:r>
      <w:r>
        <w:t xml:space="preserve"> row 2 (billing MW) now tests what Q3 actually reports: 9/30 active MW against the YE26 257.7 / 284.2 path, plus the Microsoft tranche count. The FY27 531.8 / 659.2 bar applies only if a 2027 MW guide is given. Row 15 (FD/headroom) tests treasury only; the ATM tell stays on basic Class A (row 14, &gt;~255M, which already includes the August exchange shares). FD 358,558,306 is the PT basis only.</w:t>
      </w:r>
    </w:p>
    <w:p>
      <w:r>
        <w:rPr>
          <w:b/>
        </w:rPr>
        <w:t>Third re-cut (10/8, Capacity/Grok), watch-list LOCKED:</w:t>
      </w:r>
      <w:r>
        <w:t xml:space="preserve"> row 2 tests only billed or revenue-generating MW at 9/30 against the 257.7 / 284.2 YE26 path. Active or connected MW (connected ≈3× billed, 941 vs 257.7) or no MW disclosure makes that test n/a. The Microsoft tranche count is the primary test: ≤4 of 9 confirms, ≥5 breaks.</w:t>
      </w:r>
    </w:p>
    <w:p>
      <w:r>
        <w:rPr>
          <w:b/>
        </w:rPr>
        <w:t>Note (10/8, no threshold change):</w:t>
      </w:r>
      <w:r>
        <w:t xml:space="preserve"> Modeling's solved high-path price to clear spot is $22.68M (GB300) / $22.96M (Rubin) [D]. Bitdeer's ≤$22.4M ceiling misses by $0.28M on an IT basis (MW basis unstated; ~$25M per IT MW if gross) (PT $227.72 high / $177.68 base vs $237.15).</w:t>
      </w:r>
    </w:p>
    <w:p>
      <w:r>
        <w:rPr>
          <w:b/>
        </w:rPr>
        <w:t>Re-cut (10/8, Skeptic/Modeling), new-contracts row:</w:t>
      </w:r>
      <w:r>
        <w:t xml:space="preserve"> the break is now keyed to the path. If billed MW tracks high (9/30 billed plus Q4 plan consistent with YE26 ≥284.2), deals at ≥$22.7M/MW covering a material share of uncontracted MW break the short. Otherwise the break stays at $24.51M. A single 15–20 MW print doesn't break it. ≥$20M with MW disclosed stays as a same-day flag only.</w:t>
      </w:r>
    </w:p>
    <w:p>
      <w:pPr>
        <w:pStyle w:val="Heading1"/>
      </w:pPr>
      <w:r>
        <w:t>Part B. Dilution / convert scenarios and no-vote headroom</w:t>
      </w:r>
    </w:p>
    <w:p>
      <w:r>
        <w:rPr>
          <w:b/>
        </w:rPr>
        <w:t>As of:</w:t>
      </w:r>
      <w:r>
        <w:t xml:space="preserve"> Mon Oct 5, 2026 (ET)</w:t>
      </w:r>
    </w:p>
    <w:p>
      <w:r>
        <w:rPr>
          <w:b/>
        </w:rPr>
        <w:t>Audience:</w:t>
      </w:r>
      <w:r>
        <w:t xml:space="preserve"> Modeling (wire companion </w:t>
      </w:r>
      <w:r>
        <w:rPr>
          <w:rFonts w:ascii="Consolas" w:hAnsi="Consolas"/>
        </w:rPr>
        <w:t>dilution_scenarios.xlsx</w:t>
      </w:r>
      <w:r>
        <w:t>)</w:t>
      </w:r>
    </w:p>
    <w:p>
      <w:r>
        <w:rPr>
          <w:b/>
        </w:rPr>
        <w:t>Public information only.</w:t>
      </w:r>
      <w:r>
        <w:t xml:space="preserve"> Tags: </w:t>
      </w:r>
      <w:r>
        <w:rPr>
          <w:b/>
        </w:rPr>
        <w:t>[R]</w:t>
      </w:r>
      <w:r>
        <w:t xml:space="preserve"> Reported · </w:t>
      </w:r>
      <w:r>
        <w:rPr>
          <w:b/>
        </w:rPr>
        <w:t>[D]</w:t>
      </w:r>
      <w:r>
        <w:t xml:space="preserve"> Derived (math shown) · </w:t>
      </w:r>
      <w:r>
        <w:rPr>
          <w:b/>
        </w:rPr>
        <w:t>[E]</w:t>
      </w:r>
      <w:r>
        <w:t xml:space="preserve"> Estimated (labelled placeholder).</w:t>
      </w:r>
    </w:p>
    <w:p>
      <w:r>
        <w:rPr>
          <w:b/>
        </w:rPr>
        <w:t>FROZEN for the Sunday pack (Thu Oct 8, 2026, 3:10 PM ET).</w:t>
      </w:r>
      <w:r>
        <w:t xml:space="preserve"> Sections A–E are the 6/30 base as written on 10/5. Where they differ, these v0.9e figures supersede them:</w:t>
      </w:r>
    </w:p>
    <w:p>
      <w:pPr>
        <w:pStyle w:val="ListBullet"/>
      </w:pPr>
      <w:r>
        <w:rPr>
          <w:b/>
        </w:rPr>
        <w:t>PT share count:</w:t>
      </w:r>
      <w:r>
        <w:t xml:space="preserve"> base FD </w:t>
      </w:r>
      <w:r>
        <w:rPr>
          <w:b/>
        </w:rPr>
        <w:t>358,558,306</w:t>
      </w:r>
      <w:r>
        <w:t xml:space="preserve"> [D] (6/30 FD 358,337,958, less the exchanged Jun-29/31 conversion shares, plus the ~15.8M exchange shares; new Feb-30/Feb-34 notes treated as debt). It's </w:t>
      </w:r>
      <w:r>
        <w:rPr>
          <w:b/>
        </w:rPr>
        <w:t>369,564,496</w:t>
      </w:r>
      <w:r>
        <w:t xml:space="preserve"> for PTs between $313.46 and $324.65, and </w:t>
      </w:r>
      <w:r>
        <w:rPr>
          <w:b/>
        </w:rPr>
        <w:t>376,648,956</w:t>
      </w:r>
      <w:r>
        <w:t xml:space="preserve"> above $324.65 [D]. See </w:t>
      </w:r>
      <w:r>
        <w:rPr>
          <w:rFonts w:ascii="Consolas" w:hAnsi="Consolas"/>
        </w:rPr>
        <w:t>fd_share_bridge.md</w:t>
      </w:r>
      <w:r>
        <w:t>.</w:t>
      </w:r>
    </w:p>
    <w:p>
      <w:pPr>
        <w:pStyle w:val="ListBullet"/>
      </w:pPr>
      <w:r>
        <w:rPr>
          <w:b/>
        </w:rPr>
        <w:t>No-vote headroom:</w:t>
      </w:r>
      <w:r>
        <w:t xml:space="preserve"> net </w:t>
      </w:r>
      <w:r>
        <w:rPr>
          <w:b/>
        </w:rPr>
        <w:t>~78–97M</w:t>
      </w:r>
      <w:r>
        <w:t xml:space="preserve"> [D]. That's ~78M if the exchange shares came from treasury and ~97M if they were newly issued; the settlement source isn't disclosed. This replaces the 93.5M net figure in section B.</w:t>
      </w:r>
    </w:p>
    <w:p>
      <w:pPr>
        <w:pStyle w:val="ListBullet"/>
      </w:pPr>
      <w:r>
        <w:rPr>
          <w:b/>
        </w:rPr>
        <w:t>Funding gap:</w:t>
      </w:r>
      <w:r>
        <w:t xml:space="preserve"> case (a) needs ~215M shares of authority, </w:t>
      </w:r>
      <w:r>
        <w:rPr>
          <w:b/>
        </w:rPr>
        <w:t>~2.8×</w:t>
      </w:r>
      <w:r>
        <w:t xml:space="preserve"> the ~77.8M net no-vote headroom [D, model v0.9e].</w:t>
      </w:r>
    </w:p>
    <w:p>
      <w:pPr>
        <w:pStyle w:val="ListBullet"/>
      </w:pPr>
      <w:r>
        <w:rPr>
          <w:b/>
        </w:rPr>
        <w:t>Older converts:</w:t>
      </w:r>
      <w:r>
        <w:t xml:space="preserve"> </w:t>
      </w:r>
      <w:r>
        <w:rPr>
          <w:b/>
        </w:rPr>
        <w:t>$7,675.0M</w:t>
      </w:r>
      <w:r>
        <w:t xml:space="preserve"> face remaining (Jun-29/31 $87.5M each after the Aug exchange). The maturity claim is </w:t>
      </w:r>
      <w:r>
        <w:rPr>
          <w:b/>
        </w:rPr>
        <w:t>$9,051.9M</w:t>
      </w:r>
      <w:r>
        <w:t xml:space="preserve"> [D], which matches model v0.9e (see correction at end).</w:t>
      </w:r>
    </w:p>
    <w:p>
      <w:pPr>
        <w:pStyle w:val="ListBullet"/>
      </w:pPr>
      <w:r>
        <w:rPr>
          <w:b/>
        </w:rPr>
        <w:t>EDGAR re-check 3:05 PM ET 10/8:</w:t>
      </w:r>
      <w:r>
        <w:t xml:space="preserve"> there's no new issuer 6-K, 424B5/ATM, F-3/S-8, or Q3 date PR since this morning. The only new third-party filing is the GS 13G/A (5.1%, event 9/30), already logged in </w:t>
      </w:r>
      <w:r>
        <w:rPr>
          <w:rFonts w:ascii="Consolas" w:hAnsi="Consolas"/>
        </w:rPr>
        <w:t>edgar_recheck_2026-10-08.md</w:t>
      </w:r>
      <w:r>
        <w:t>.</w:t>
      </w:r>
    </w:p>
    <w:p>
      <w:pPr>
        <w:pStyle w:val="Heading3"/>
      </w:pPr>
      <w:r>
        <w:t>A. Share-count base at 6/30/26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Shares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Tag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Source / note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Class A outstanding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238,400,165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Q2 PR / outstanding shares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Class B outstanding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33,455,053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Q2 PR (10 votes/share)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Class A issued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288,585,891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Q2FS Note 14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Treasury Class A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50,185,726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[D]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288,585,891 − 238,400,165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Issued Class A + Class B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271,855,218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Outstanding shares line; excl. warrant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NVIDIA pre-funded warrant (unexercised)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21,065,936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Q2FS Note 14; $0.0001 strike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Warrant in </w:t>
            </w:r>
            <w:r>
              <w:rPr>
                <w:b/>
                <w:sz w:val="18"/>
              </w:rPr>
              <w:t>basic WASO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Yes, from issue date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Q2FS Note 1 EPS policy — included in basic/diluted WASO even though unexercised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Warrant in </w:t>
            </w:r>
            <w:r>
              <w:rPr>
                <w:b/>
                <w:sz w:val="18"/>
              </w:rPr>
              <w:t>issued &amp; outstanding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Not in the 271,855,218 issued count until exercise; settles from treasury or authorized capital (FY25 20-F)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ATM sold in Q2 2026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12,729,493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Note 14; WA </w:t>
            </w:r>
            <w:r>
              <w:rPr>
                <w:b/>
                <w:sz w:val="18"/>
              </w:rPr>
              <w:t>$223.60</w:t>
            </w:r>
            <w:r>
              <w:rPr>
                <w:sz w:val="18"/>
              </w:rPr>
              <w:t xml:space="preserve"> [R]; net </w:t>
            </w:r>
            <w:r>
              <w:rPr>
                <w:b/>
                <w:sz w:val="18"/>
              </w:rPr>
              <w:t>$2,811.1M</w:t>
            </w:r>
            <w:r>
              <w:rPr>
                <w:sz w:val="18"/>
              </w:rPr>
              <w:t xml:space="preserve"> [R]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ATM remaining (of 25M program)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12,270,507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25,000,000 − 12,729,493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Q2 basic = diluted WASO (net loss)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280,381,615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= basic; converts anti-dilutive</w:t>
            </w:r>
          </w:p>
        </w:tc>
      </w:tr>
    </w:tbl>
    <w:p/>
    <w:p>
      <w:pPr>
        <w:pStyle w:val="Heading3"/>
      </w:pPr>
      <w:r>
        <w:t>B. No-vote Class A funding capacity</w:t>
      </w:r>
    </w:p>
    <w:p>
      <w:r>
        <w:t xml:space="preserve">From </w:t>
      </w:r>
      <w:r>
        <w:rPr>
          <w:rFonts w:ascii="Consolas" w:hAnsi="Consolas"/>
        </w:rPr>
        <w:t>funding_capacity_note.md</w:t>
      </w:r>
      <w:r>
        <w:t xml:space="preserve"> (AGM Items 13–14 PASSED 8/25/26):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Shares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Tag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Math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Treasury 6/30/26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50,185,726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[D]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issued − outstanding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AGM 20% pool (snapshot)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64,408,189 ≈ 64.4M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[D]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20% × (288,585,891 + 33,455,053) = 20% × 322,040,944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Gross headroom (no new vote)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114,593,915 ≈ 114.6M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[D]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50,185,726 + 64,408,189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Less unexercised NVIDIA warrant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(21,065,936)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Settlement from treasury or authorized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Net headroom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93,527,979 ≈ 93.5M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[D]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114,593,915 − 21,065,936</w:t>
            </w:r>
          </w:p>
        </w:tc>
      </w:tr>
    </w:tbl>
    <w:p/>
    <w:p>
      <w:r>
        <w:t>Modeling shorthand: ~</w:t>
      </w:r>
      <w:r>
        <w:rPr>
          <w:b/>
        </w:rPr>
        <w:t>94–115M</w:t>
      </w:r>
      <w:r>
        <w:t xml:space="preserve"> Class A funding-capacity shares without a new AGM vote.</w:t>
      </w:r>
    </w:p>
    <w:p>
      <w:pPr>
        <w:pStyle w:val="Heading3"/>
      </w:pPr>
      <w:r>
        <w:t>C. Convertible notes &amp; dilution scenarios</w:t>
      </w:r>
    </w:p>
    <w:p>
      <w:pPr>
        <w:pStyle w:val="Heading3"/>
      </w:pPr>
      <w:r>
        <w:t>Convert stack at 6/30/26 (Q2FS Note 12) — pre Aug-26 exchange/new issue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70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$M</w:t>
            </w:r>
          </w:p>
        </w:tc>
        <w:tc>
          <w:tcPr>
            <w:tcW w:type="dxa" w:w="470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Tag</w:t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Carrying amount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8,499.0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Accreted principal at maturity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10,041.8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</w:tr>
      <w:tr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Fair value (Level 3)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20,823.7</w:t>
            </w:r>
          </w:p>
        </w:tc>
        <w:tc>
          <w:tcPr>
            <w:tcW w:type="dxa" w:w="4704"/>
          </w:tcPr>
          <w:p>
            <w:r>
              <w:rPr>
                <w:sz w:val="18"/>
              </w:rPr>
            </w:r>
            <w:r>
              <w:rPr>
                <w:sz w:val="18"/>
              </w:rPr>
              <w:t>[R]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Series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Remaining orig. principal 6/30 ($M)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Conv. rate (sh/$1k)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Conv. price ($)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 12 accreted ($M)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Carrying ($M)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Tag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2.00% Jun-2029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487.5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19.4363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51.45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587.5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504.1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[R]/[D] remaining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3.00% Jun-2031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487.5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19.4363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51.45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612.5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498.4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[R]/[D] remaining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1.00% Sep-2030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1581.25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7.2072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138.75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1818.4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1588.2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[R]/[D] remaining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2.75% Sep-2032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1581.25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7.2072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138.75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1818.4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1575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[R]/[D] remaining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1.25% Mar-2031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2587.5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5.4579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183.22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3105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2588.6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[R]/[D] remaining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2.625% Mar-2033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1750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5.546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180.31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2100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1744.7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[R]/[D] remaining</w:t>
            </w:r>
          </w:p>
        </w:tc>
      </w:tr>
    </w:tbl>
    <w:p/>
    <w:p>
      <w:r>
        <w:rPr>
          <w:b/>
        </w:rPr>
        <w:t>If-converted shares excluded from diluted EPS (Q2 loss):</w:t>
      </w:r>
      <w:r>
        <w:t xml:space="preserve"> </w:t>
      </w:r>
      <w:r>
        <w:rPr>
          <w:b/>
        </w:rPr>
        <w:t>65,416,804</w:t>
      </w:r>
      <w:r>
        <w:t xml:space="preserve"> [R] — Q2FS Note 1: “The weighted average number of incremental shares under the if-converted method for the convertible notes excluded from the computation because their effect was anti-dilutive was </w:t>
      </w:r>
      <w:r>
        <w:rPr>
          <w:b/>
        </w:rPr>
        <w:t>65,416,804</w:t>
      </w:r>
      <w:r>
        <w:t xml:space="preserve"> for the three months … ended June 30, 2026.” Cross-check [D]: initial rates × pre-exchange orig. principal ≈ 65.57M (within ~0.2%).</w:t>
      </w:r>
    </w:p>
    <w:p>
      <w:r>
        <w:t>Post-period (not in 6/30 BS): Aug-26 exchange retired $400M of each Jun-2029/2031 note for ~15.8M shares [R]; new $3,450M 0.50% Feb-2030 + $2,300M 4.50% Feb-2034 [R]. Use CapStructure / Converts sheet for post-period waterfall.</w:t>
      </w:r>
    </w:p>
    <w:p>
      <w:pPr>
        <w:pStyle w:val="Heading3"/>
      </w:pPr>
      <w:r>
        <w:t>Fully diluted (FD) definition used here</w:t>
      </w:r>
    </w:p>
    <w:p>
      <w:r>
        <w:rPr>
          <w:b/>
        </w:rPr>
        <w:t>FD = Class A outstanding + Class B + NVIDIA warrant + if-converted converts</w:t>
      </w:r>
    </w:p>
    <w:p>
      <w:r>
        <w:t>= 238,400,165 + 33,455,053 + 21,065,936 + 65,416,804</w:t>
      </w:r>
    </w:p>
    <w:p>
      <w:r>
        <w:t xml:space="preserve">= </w:t>
      </w:r>
      <w:r>
        <w:rPr>
          <w:b/>
        </w:rPr>
        <w:t>358,337,958</w:t>
      </w:r>
      <w:r>
        <w:t xml:space="preserve"> [D]</w:t>
      </w:r>
    </w:p>
    <w:p>
      <w:r>
        <w:t>(Excludes RSUs/options/ATM remainder and post-6/30 Aug exchange shares — those sit in CapStructure waterfall separately.)</w:t>
      </w:r>
    </w:p>
    <w:p>
      <w:pPr>
        <w:pStyle w:val="Heading3"/>
      </w:pPr>
      <w:r>
        <w:t>Scenario table — equity issuance / ATM</w:t>
      </w:r>
    </w:p>
    <w:p>
      <w:r>
        <w:t>Shares issued under each scenario; gross proceeds = shares × price. Dilution % = shares issued ÷ base (Class A out or FD). Headroom scenarios are incremental Class A from treasury + AGM 20% pool (no new vote).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Shares issued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Tag shares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Gross proceeds @ $223.60 [R] ($M)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@ $150 [E] ($M)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@ $100 [E] ($M)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Dilution vs Class A out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Dilution vs FD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Status quo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0%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0%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ATM exhaust remainder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12,270,507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[D]/[R]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2,743.7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1,840.6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1,227.1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5.1%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3.4%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Issue 50% of net headroom (~47M)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46,763,990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[D]/[R]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10,456.4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7,014.6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4,676.4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19.6%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13.1%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Issue 100% of net headroom (~94M)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93,527,979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[D]/[R]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20,912.9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14,029.2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9,352.8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39.2%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26.1%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Issue 50% of gross headroom (~57M)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57,296,958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[D]/[R]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12,811.6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8,594.5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5,729.7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24.0%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16.0%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Issue 100% of gross headroom (~115M)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114,593,915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[D]/[R]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25,623.2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17,189.1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11,459.4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48.1%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32.0%</w:t>
            </w:r>
          </w:p>
        </w:tc>
      </w:tr>
    </w:tbl>
    <w:p/>
    <w:p>
      <w:r>
        <w:rPr>
          <w:b/>
        </w:rPr>
        <w:t>Read of key cells (Modeling wire):</w:t>
      </w:r>
    </w:p>
    <w:p>
      <w:pPr>
        <w:pStyle w:val="ListBullet"/>
      </w:pPr>
      <w:r>
        <w:t xml:space="preserve">ATM exhaust @ $223.60 [R]: </w:t>
      </w:r>
      <w:r>
        <w:rPr>
          <w:b/>
        </w:rPr>
        <w:t>12,270,507</w:t>
      </w:r>
      <w:r>
        <w:t xml:space="preserve"> sh → </w:t>
      </w:r>
      <w:r>
        <w:rPr>
          <w:b/>
        </w:rPr>
        <w:t>$2,743.7M</w:t>
      </w:r>
      <w:r>
        <w:t xml:space="preserve"> gross; </w:t>
      </w:r>
      <w:r>
        <w:rPr>
          <w:b/>
        </w:rPr>
        <w:t>5.1%</w:t>
      </w:r>
      <w:r>
        <w:t xml:space="preserve"> vs Class A / </w:t>
      </w:r>
      <w:r>
        <w:rPr>
          <w:b/>
        </w:rPr>
        <w:t>3.4%</w:t>
      </w:r>
      <w:r>
        <w:t xml:space="preserve"> vs FD.</w:t>
      </w:r>
    </w:p>
    <w:p>
      <w:pPr>
        <w:pStyle w:val="ListBullet"/>
      </w:pPr>
      <w:r>
        <w:t xml:space="preserve">100% net headroom (93,527,979) @ $223.60: </w:t>
      </w:r>
      <w:r>
        <w:rPr>
          <w:b/>
        </w:rPr>
        <w:t>$20,912.9M</w:t>
      </w:r>
      <w:r>
        <w:t xml:space="preserve"> gross; </w:t>
      </w:r>
      <w:r>
        <w:rPr>
          <w:b/>
        </w:rPr>
        <w:t>39.2%</w:t>
      </w:r>
      <w:r>
        <w:t xml:space="preserve"> / </w:t>
      </w:r>
      <w:r>
        <w:rPr>
          <w:b/>
        </w:rPr>
        <w:t>26.1%</w:t>
      </w:r>
      <w:r>
        <w:t>.</w:t>
      </w:r>
    </w:p>
    <w:p>
      <w:pPr>
        <w:pStyle w:val="ListBullet"/>
      </w:pPr>
      <w:r>
        <w:t xml:space="preserve">100% gross headroom (114,593,915) @ $223.60: </w:t>
      </w:r>
      <w:r>
        <w:rPr>
          <w:b/>
        </w:rPr>
        <w:t>$25,623.2M</w:t>
      </w:r>
      <w:r>
        <w:t xml:space="preserve"> gross; </w:t>
      </w:r>
      <w:r>
        <w:rPr>
          <w:b/>
        </w:rPr>
        <w:t>48.1%</w:t>
      </w:r>
      <w:r>
        <w:t xml:space="preserve"> / </w:t>
      </w:r>
      <w:r>
        <w:rPr>
          <w:b/>
        </w:rPr>
        <w:t>32.0%</w:t>
      </w:r>
      <w:r>
        <w:t>.</w:t>
      </w:r>
    </w:p>
    <w:p>
      <w:pPr>
        <w:pStyle w:val="ListBullet"/>
      </w:pPr>
      <w:r>
        <w:t xml:space="preserve">Same share counts @ $100 [E] halve proceeds vs $200; dilution % is </w:t>
      </w:r>
      <w:r>
        <w:rPr>
          <w:b/>
        </w:rPr>
        <w:t>price-invariant</w:t>
      </w:r>
      <w:r>
        <w:t xml:space="preserve"> (share count only).</w:t>
      </w:r>
    </w:p>
    <w:p>
      <w:pPr>
        <w:pStyle w:val="Heading3"/>
      </w:pPr>
      <w:r>
        <w:t>D. One-line guidance for Modeling</w:t>
      </w:r>
    </w:p>
    <w:p>
      <w:pPr>
        <w:pStyle w:val="ListBullet"/>
      </w:pPr>
      <w:r>
        <w:rPr>
          <w:b/>
        </w:rPr>
        <w:t>PT share count:</w:t>
      </w:r>
      <w:r>
        <w:t xml:space="preserve"> use </w:t>
      </w:r>
      <w:r>
        <w:rPr>
          <w:b/>
        </w:rPr>
        <w:t>FD</w:t>
      </w:r>
      <w:r>
        <w:t xml:space="preserve"> (Class A out + Class B + warrant + if-converted converts = </w:t>
      </w:r>
      <w:r>
        <w:rPr>
          <w:b/>
        </w:rPr>
        <w:t>358,337,958</w:t>
      </w:r>
      <w:r>
        <w:t xml:space="preserve"> [D] at 6/30) for per-share valuation / price-target math; cite </w:t>
      </w:r>
      <w:r>
        <w:rPr>
          <w:b/>
        </w:rPr>
        <w:t>basic</w:t>
      </w:r>
      <w:r>
        <w:t xml:space="preserve"> Class A outstanding (</w:t>
      </w:r>
      <w:r>
        <w:rPr>
          <w:b/>
        </w:rPr>
        <w:t>238,400,165</w:t>
      </w:r>
      <w:r>
        <w:t xml:space="preserve"> [R]) only when the slide is explicitly “per Class A share outstanding.” Do </w:t>
      </w:r>
      <w:r>
        <w:rPr>
          <w:b/>
        </w:rPr>
        <w:t>not</w:t>
      </w:r>
      <w:r>
        <w:t xml:space="preserve"> use WASO alone for PT without stating warrant inclusion.</w:t>
      </w:r>
    </w:p>
    <w:p>
      <w:pPr>
        <w:pStyle w:val="ListBullet"/>
      </w:pPr>
      <w:r>
        <w:rPr>
          <w:b/>
        </w:rPr>
        <w:t>Cash / credit timing stays separate from dilution:</w:t>
      </w:r>
      <w:r>
        <w:t xml:space="preserve"> deferred-revenue recognition and customer prepay credit schedules are </w:t>
      </w:r>
      <w:r>
        <w:rPr>
          <w:b/>
        </w:rPr>
        <w:t>not</w:t>
      </w:r>
      <w:r>
        <w:t xml:space="preserve"> share-count inputs — see </w:t>
      </w:r>
      <w:r>
        <w:rPr>
          <w:rFonts w:ascii="Consolas" w:hAnsi="Consolas"/>
        </w:rPr>
        <w:t>payback_recon_inputs.md</w:t>
      </w:r>
      <w:r>
        <w:t xml:space="preserve"> / </w:t>
      </w:r>
      <w:r>
        <w:rPr>
          <w:rFonts w:ascii="Consolas" w:hAnsi="Consolas"/>
        </w:rPr>
        <w:t>deferred_rpo_rollforward.xlsx</w:t>
      </w:r>
      <w:r>
        <w:t>. Do not bake recognition timing into the dilution waterfall.</w:t>
      </w:r>
    </w:p>
    <w:p>
      <w:pPr>
        <w:pStyle w:val="Heading3"/>
      </w:pPr>
      <w:r>
        <w:t>E. Gaps</w:t>
      </w:r>
    </w:p>
    <w:p>
      <w:pPr>
        <w:pStyle w:val="ListBullet"/>
      </w:pPr>
      <w:r>
        <w:rPr>
          <w:b/>
        </w:rPr>
        <w:t>Post-6/30 ATM</w:t>
      </w:r>
      <w:r>
        <w:t xml:space="preserve"> sales: not yet in balance sheet / Note 14; remaining capacity may already be lower.</w:t>
      </w:r>
    </w:p>
    <w:p>
      <w:pPr>
        <w:pStyle w:val="ListBullet"/>
      </w:pPr>
      <w:r>
        <w:rPr>
          <w:b/>
        </w:rPr>
        <w:t>NVIDIA warrant exercise:</w:t>
      </w:r>
      <w:r>
        <w:t xml:space="preserve"> undisclosed through latest 6-Ks (through 10/1/26 Inferize); still treated as unexercised.</w:t>
      </w:r>
    </w:p>
    <w:p>
      <w:pPr>
        <w:pStyle w:val="ListBullet"/>
      </w:pPr>
      <w:r>
        <w:rPr>
          <w:b/>
        </w:rPr>
        <w:t>$775M senior secured facility</w:t>
      </w:r>
      <w:r>
        <w:t xml:space="preserve"> (signed 10-Jul-2026): drawn amount </w:t>
      </w:r>
      <w:r>
        <w:rPr>
          <w:b/>
        </w:rPr>
        <w:t>undisclosed</w:t>
      </w:r>
      <w:r>
        <w:t>.</w:t>
      </w:r>
    </w:p>
    <w:p>
      <w:pPr>
        <w:pStyle w:val="ListBullet"/>
      </w:pPr>
      <w:r>
        <w:t xml:space="preserve">Aug-26 ~15.8M exchange shares and new converts are </w:t>
      </w:r>
      <w:r>
        <w:rPr>
          <w:b/>
        </w:rPr>
        <w:t>post-period</w:t>
      </w:r>
      <w:r>
        <w:t xml:space="preserve"> vs this 6/30 base — refresh after next interim.</w:t>
      </w:r>
    </w:p>
    <w:p>
      <w:pPr>
        <w:pStyle w:val="Heading3"/>
      </w:pPr>
      <w:r>
        <w:t>File pointers</w:t>
      </w:r>
    </w:p>
    <w:p>
      <w:pPr>
        <w:pStyle w:val="ListBullet"/>
      </w:pPr>
      <w:r>
        <w:t xml:space="preserve">Companion workbook: </w:t>
      </w:r>
      <w:r>
        <w:rPr>
          <w:rFonts w:ascii="Consolas" w:hAnsi="Consolas"/>
        </w:rPr>
        <w:t>dilution_scenarios.xlsx</w:t>
      </w:r>
    </w:p>
    <w:p>
      <w:pPr>
        <w:pStyle w:val="ListBullet"/>
      </w:pPr>
      <w:r>
        <w:t xml:space="preserve">Funding math: </w:t>
      </w:r>
      <w:r>
        <w:rPr>
          <w:rFonts w:ascii="Consolas" w:hAnsi="Consolas"/>
        </w:rPr>
        <w:t>funding_capacity_note.md</w:t>
      </w:r>
    </w:p>
    <w:p>
      <w:pPr>
        <w:pStyle w:val="ListBullet"/>
      </w:pPr>
      <w:r>
        <w:t xml:space="preserve">Converts / CapStructure: </w:t>
      </w:r>
      <w:r>
        <w:rPr>
          <w:rFonts w:ascii="Consolas" w:hAnsi="Consolas"/>
        </w:rPr>
        <w:t>nebius_filings.xlsx</w:t>
      </w:r>
    </w:p>
    <w:p>
      <w:pPr>
        <w:pStyle w:val="ListBullet"/>
      </w:pPr>
      <w:r>
        <w:t xml:space="preserve">Fact base: </w:t>
      </w:r>
      <w:r>
        <w:rPr>
          <w:rFonts w:ascii="Consolas" w:hAnsi="Consolas"/>
        </w:rPr>
        <w:t>nebius_fact_base.md</w:t>
      </w:r>
    </w:p>
    <w:p>
      <w:r>
        <w:rPr>
          <w:b/>
        </w:rPr>
        <w:t>Correction (10/8/26):</w:t>
      </w:r>
      <w:r>
        <w:t xml:space="preserve"> the Jun-2029 / Jun-2031 "Note 12 accreted" figures ($587.5M / $612.5M) are the redemption amounts on the </w:t>
      </w:r>
      <w:r>
        <w:rPr>
          <w:b/>
        </w:rPr>
        <w:t>$500M original</w:t>
      </w:r>
      <w:r>
        <w:t xml:space="preserve"> issue (117.5% / 122.5%), not on the $487.5M remaining. On the $87.5M left after the Aug exchange, the claims at maturity are $102.8M / $107.2M [D]. The older six total </w:t>
      </w:r>
      <w:r>
        <w:rPr>
          <w:b/>
        </w:rPr>
        <w:t>$9,051.9M</w:t>
      </w:r>
      <w:r>
        <w:t xml:space="preserve"> [D], which matches model v0.9e.</w:t>
      </w:r>
    </w:p>
    <w:p>
      <w:r>
        <w:t>*Change log 2026-10-09 (1): Funding-gap ratio restated text-only from "~215M new shares, ~2.2–2.8× the no-vote headroom" to "~215M shares of authority, ~2.8× the ~77.8M net no-vote headroom" (team lock 10/9: authority needed vs 77.8M available, net of NVIDIA warrant; Grok OK 8:47 AM). No numbers changed.*</w:t>
      </w:r>
    </w:p>
    <w:p>
      <w:pPr>
        <w:pStyle w:val="Heading1"/>
      </w:pPr>
      <w:r>
        <w:t>Part C. Primary sources (SEC EDGAR, Nebius Group N.V., CIK 0001513845, unless noted)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Used for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Link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Q2'26 results PR, 6-K Ex.99.1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8/12/26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Revenue, capex, outstanding shares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https://www.sec.gov/Archives/edgar/data/1513845/000110465926094568/tm2622968d1_ex99-1.htm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Q2'26 shareholder letter, 6-K Ex.99.2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8/12/26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ARR, Q2 deal ACV $20–25M/MW, payback, MSFT tranches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https://www.sec.gov/Archives/edgar/data/1513845/000110465926094568/tm2622968d1_ex99-2.htm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Q2'26 interim financial statements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8/12/26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RPO, deferred revenue, ATM (Note 14), warrant, converts, concentration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https://www.sec.gov/Archives/edgar/data/1513845/000110465926094844/nbis-20260812xex99d2.htm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$775M secured facility, 6-K/A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7/17/26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Facility terms; draw ND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https://www.sec.gov/Archives/edgar/data/1513845/000110465926084606/tm2620779d1_6ka.htm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AGM notice, 6-K (acc 0001104659-26-087080)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7/27/26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 date 7/28, items 13–14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EDGAR accession 0001104659-26-087080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Convert pricing, 6-K Ex.99.1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8/20/26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Feb-30 / Feb-34 notes, conversion rates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https://www.sec.gov/Archives/edgar/data/1513845/000110465926098924/tm2623617d1_ex99-1.htm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Convert closing + Form of Exchange Agreement (Ex.4.5)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8/24/26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Exchange share formula, ~15.8M exchange shares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https://www.sec.gov/Archives/edgar/data/1513845/000110465926100347/tm2623863d1_ex4-5.htm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AGM results, 6-K Ex.99.1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8/26/26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Items 13–14 passed (20% pool)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https://www.sec.gov/Archives/edgar/data/1513845/000110465926101076/tm2624077d1_ex99-1.htm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ATM prospectus supplement, 424B5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11/12/25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ATM programme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https://www.sec.gov/Archives/edgar/data/1513845/000110465925110025/tm2530771-1_424b5.htm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NVIDIA Schedule 13G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7/20/26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22,256,412 sh incl. 21,065,936 warrant shares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https://www.sec.gov/Archives/edgar/data/1513845/000104581026000062/xslSCHEDULE_13G_X01/primary_doc.xml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Goldman Sachs 13G / 13G/A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8/7/26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Holder history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https://www.sec.gov/Archives/edgar/data/1513845/000088698226000305/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Goldman Sachs 13G/A No.2 (event 9/30)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10/7/26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13,010,758 sh, 5.1%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https://www.sec.gov/Archives/edgar/data/1513845/000088698226000526/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Latest issuer 6-K (Inferize)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10/1/26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No capital change since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https://www.sec.gov/Archives/edgar/data/1513845/000110465926112824/tm2626792d1_6k.htm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FY25 Form 20-F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2026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MSFT Vineland contract wording, revenue model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Nebius FY25 20-F (</w:t>
            </w:r>
            <w:r>
              <w:rPr>
                <w:rFonts w:ascii="Consolas" w:hAnsi="Consolas"/>
                <w:sz w:val="18"/>
              </w:rPr>
              <w:t>edgar/nbis-20251231x20f.htm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Q2'26 earnings call transcript (third party)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8/12/26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YE26 ARR and capex guidance remarks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https://stockanalysis.com/stocks/nbis/transcripts/655490-q2-2026/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EDGAR submissions feed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checked 10/9/26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Filing-by-filing re-check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https://data.sec.gov/submissions/CIK0001513845.json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Nebius newsroom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checked 10/9/26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Q3 results-date release watch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https://nebius.com/newsroom</w:t>
            </w:r>
          </w:p>
        </w:tc>
      </w:tr>
    </w:tbl>
    <w:p/>
    <w:p>
      <w:r>
        <w:t xml:space="preserve">Supporting workpapers (on the shared drive): </w:t>
      </w:r>
      <w:r>
        <w:rPr>
          <w:rFonts w:ascii="Consolas" w:hAnsi="Consolas"/>
        </w:rPr>
        <w:t>fd_share_bridge.md/.xlsx</w:t>
      </w:r>
      <w:r>
        <w:t xml:space="preserve"> (FD and headroom math), </w:t>
      </w:r>
      <w:r>
        <w:rPr>
          <w:rFonts w:ascii="Consolas" w:hAnsi="Consolas"/>
        </w:rPr>
        <w:t>post630_capital_update.md</w:t>
      </w:r>
      <w:r>
        <w:t xml:space="preserve">, </w:t>
      </w:r>
      <w:r>
        <w:rPr>
          <w:rFonts w:ascii="Consolas" w:hAnsi="Consolas"/>
        </w:rPr>
        <w:t>q3_watchlist.xlsx</w:t>
      </w:r>
      <w:r>
        <w:t xml:space="preserve"> (change log rows 1–9), </w:t>
      </w:r>
      <w:r>
        <w:rPr>
          <w:rFonts w:ascii="Consolas" w:hAnsi="Consolas"/>
        </w:rPr>
        <w:t>dilution_scenarios.xlsx</w:t>
      </w:r>
      <w:r>
        <w:t xml:space="preserve">, </w:t>
      </w:r>
      <w:r>
        <w:rPr>
          <w:rFonts w:ascii="Consolas" w:hAnsi="Consolas"/>
        </w:rPr>
        <w:t>edgar_recheck_2026-10-08.md</w:t>
      </w:r>
      <w:r>
        <w:t>.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