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24"/>
        </w:rPr>
        <w:t>Exhibit: Nebius capital structure and dilution capacity (NBIS short)</w:t>
      </w:r>
    </w:p>
    <w:p>
      <w:pPr>
        <w:spacing w:after="40"/>
      </w:pPr>
      <w:r>
        <w:rPr>
          <w:b w:val="0"/>
          <w:i/>
          <w:sz w:val="15"/>
        </w:rPr>
        <w:t>Filings &amp; Capital · locked figures as of Fri Oct 9, 2026 (ET) · public information only · [R] reported · [D] derived · [E] estimate · ND not disclosed</w:t>
      </w:r>
    </w:p>
    <w:p>
      <w:pPr>
        <w:spacing w:after="40"/>
      </w:pPr>
      <w:r>
        <w:rPr>
          <w:b/>
          <w:i w:val="0"/>
          <w:sz w:val="19"/>
        </w:rPr>
        <w:t>Takeaway: every long case needs 2.7–4.2× the share authority Nebius has without a new shareholder vote. Funding the build at disclosed contract prices means a fresh vote, a large equity raise, or more converts.</w:t>
      </w:r>
    </w:p>
    <w:p>
      <w:pPr>
        <w:spacing w:after="40"/>
      </w:pPr>
      <w:r>
        <w:rPr>
          <w:b/>
          <w:i w:val="0"/>
          <w:sz w:val="18"/>
        </w:rPr>
        <w:t>1. Share count used for price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</w:tcPr>
          <w:p>
            <w:r/>
            <w:r>
              <w:rPr>
                <w:b/>
                <w:sz w:val="15"/>
              </w:rPr>
              <w:t>Tier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FD shares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5"/>
              </w:rPr>
              <w:t>Applies when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5"/>
              </w:rPr>
              <w:t>Tag /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5"/>
              </w:rPr>
              <w:t>Debt tier (all team PTs)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5"/>
              </w:rPr>
              <w:t>358,558,306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PT below $313.46: Feb-30 / Feb-34 notes treated as debt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5"/>
              </w:rPr>
              <w:t>D · fd_share_bridge (6/30 FD 358,337,958 − exchanged conversion shares + 15.77M exchange shares)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5"/>
              </w:rPr>
              <w:t>Feb-30 converts in the money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369,564,496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PT $313.46–$324.65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5"/>
              </w:rPr>
              <w:t>D · + 11,006,190 if-converted (3,450,000 × 3.1902)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5"/>
              </w:rPr>
              <w:t>Both new notes in the money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5"/>
              </w:rPr>
              <w:t>376,648,956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PT above $324.65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5"/>
              </w:rPr>
              <w:t>D · + 7,084,460 if-converted (2,300,000 × 3.0802)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sz w:val="18"/>
        </w:rPr>
        <w:t>2. Authority available without a new vote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4896"/>
          </w:tcPr>
          <w:p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5"/>
              </w:rPr>
              <w:t>Shares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5"/>
              </w:rPr>
              <w:t>Tag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5"/>
              </w:rPr>
              <w:t>AGM 20% pool (items 13–14 passed 8/25/26)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64,408,189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5"/>
              </w:rPr>
              <w:t>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5"/>
              </w:rPr>
              <w:t>20% × (Class A issued 288,585,891 + Class B 33,455,053); AGM results 6-K 8/26/26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5"/>
              </w:rPr>
              <w:t>Treasury after the Aug-26 exchange (conservative: exchange shares from treasury)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34,416,338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5"/>
              </w:rPr>
              <w:t>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5"/>
              </w:rPr>
              <w:t>50,185,726 at 6/30 [R] − 15,769,388 exchange shares [D]; settlement source ND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5"/>
              </w:rPr>
              <w:t>Less: NVIDIA pre-funded warrant (unexercised)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(21,065,936)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5"/>
              </w:rPr>
              <w:t>R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5"/>
              </w:rPr>
              <w:t>Q2FS Note 14; NVIDIA 13G 7/20/26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5"/>
              </w:rPr>
              <w:t>Net authority available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5"/>
              </w:rPr>
              <w:t>77,758,591 ≈ 77.8M</w:t>
            </w:r>
          </w:p>
        </w:tc>
        <w:tc>
          <w:tcPr>
            <w:tcW w:type="dxa" w:w="720"/>
          </w:tcPr>
          <w:p>
            <w:r/>
            <w:r>
              <w:rPr>
                <w:b w:val="0"/>
                <w:sz w:val="15"/>
              </w:rPr>
              <w:t>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5"/>
              </w:rPr>
              <w:t>Upper case ~96.7M only if exchange shares were newly issued (ND); Q3 interim treasury count resolves it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sz w:val="18"/>
        </w:rPr>
        <w:t>3. Authority needed vs available (shares of authority = new shares + convert reserve; model v0.9e full solves, Judge basis, debt tier)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4320"/>
          </w:tcPr>
          <w:p>
            <w:r/>
            <w:r>
              <w:rPr>
                <w:b/>
                <w:sz w:val="15"/>
              </w:rPr>
              <w:t>Case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5"/>
              </w:rPr>
              <w:t>PT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5"/>
              </w:rPr>
              <w:t>Authority needed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5"/>
              </w:rPr>
              <w:t>× of 77.8M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5"/>
              </w:rPr>
              <w:t>New shares (memo)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Tag / 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Case (a) funding gap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~215M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2.8×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q3_watchlist H16; ratio vs 77.8M [D]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A4 long case (every uncontracted MW at $24M, base path)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$223 (below $237.15 spot)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229.7M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3.0×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184.1M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model v0.9e Judge basis; $24M input 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D3 long case (every uncontracted MW at $24M, 659.2 high path): stress case, not a path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$281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225.7M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2.9×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189.5M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model v0.9e Judge basis; $24M input 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High-path mixed routes (part at $16.7M band top, rest above Bitdeer ceiling)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spot to D3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~226–273M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2.9–3.5×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model v0.9e; band top P (Lambda), Bitdeer D/basis 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Bitdeer IT-equivalent $24.6M/MW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$239.51 base / $301.47 high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212.5M / 208.7M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~2.7×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170.0M / 174.9M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≤$22.4M D, basis P; IT read 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5"/>
              </w:rPr>
              <w:t>Lambda generous gross reading $21.7M/MW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$156.78 base / $204.21 high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325.7M / 322.0M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5"/>
              </w:rPr>
              <w:t>4.1–4.2×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5"/>
              </w:rPr>
              <w:t>~261–272M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 · Lambda $16.67M P; gross reading D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sz w:val="18"/>
        </w:rPr>
        <w:t>4. Convertible notes outstanding after the Aug-26 exchange and new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184"/>
          </w:tcPr>
          <w:p>
            <w:r/>
            <w:r>
              <w:rPr>
                <w:b/>
                <w:sz w:val="15"/>
              </w:rPr>
              <w:t>Series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5"/>
              </w:rPr>
              <w:t>Principal ($M)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5"/>
              </w:rPr>
              <w:t>Conv. price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Point-in-time if-converted shares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5"/>
              </w:rPr>
              <w:t>Tag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5"/>
              </w:rPr>
              <w:t>2.00% Jun-2029 / 3.00% Jun-2031 (after $400M each exchanged)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5"/>
              </w:rPr>
              <w:t>87.5 / 87.5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$51.45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5"/>
              </w:rPr>
              <w:t>1,700,676 each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R principal / D shares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5"/>
              </w:rPr>
              <w:t>1.00% Sep-2030 / 2.75% Sep-2032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5"/>
              </w:rPr>
              <w:t>1,581.25 / 1,581.25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$138.75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5"/>
              </w:rPr>
              <w:t>11,396,385 each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R / 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5"/>
              </w:rPr>
              <w:t>1.25% Mar-2031 / 2.625% Mar-2033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5"/>
              </w:rPr>
              <w:t>2,587.5 / 1,750.0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$183.22 / $180.31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5"/>
              </w:rPr>
              <w:t>14,122,316 / 9,705,500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R / 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5"/>
              </w:rPr>
              <w:t>0.50% Feb-2030 (new, Aug-26)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5"/>
              </w:rPr>
              <w:t>3,450.0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$313.46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5"/>
              </w:rPr>
              <w:t>11,006,190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R / 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5"/>
              </w:rPr>
              <w:t>4.50% Feb-2034 (new, Aug-26)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5"/>
              </w:rPr>
              <w:t>2,300.0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  <w:t>$324.65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5"/>
              </w:rPr>
              <w:t>7,084,460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R / 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5"/>
              </w:rPr>
              <w:t>Total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5"/>
              </w:rPr>
              <w:t>13,425.0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5"/>
              </w:rPr>
              <w:t>68,112,589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5"/>
              </w:rPr>
              <w:t>D. Older notes $7,675.0M face; claim at maturity $9,051.9M [D]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i w:val="0"/>
          <w:sz w:val="15"/>
        </w:rPr>
        <w:t>Other debt: $775M senior secured facility signed 7/10/26 (SOFR + 2.50%, matures 10/31/30); drawn amount ND [R, 6-K/A 7/17/26]. ATM: 12,270,507 shares of capacity left at 6/30 [R]; Q3 sales ND. FD excludes RSUs/options. The FD tiers use the reported Q2 weighted-average if-converted count (65,416,804) less exchanged notes, so they differ slightly from the point-in-time total above.</w:t>
      </w:r>
    </w:p>
    <w:p>
      <w:pPr>
        <w:spacing w:after="40"/>
      </w:pPr>
      <w:r>
        <w:rPr>
          <w:b w:val="0"/>
          <w:i/>
          <w:sz w:val="14"/>
        </w:rPr>
        <w:t>Sources: Q2'26 PR and interim FS (6-K 8/12/26, acc 0001104659-26-094568 / -094844); AGM results 6-K 8/26/26 (tm2624077d1_ex99-1); convert pricing 6-K 8/20/26 and closing + Ex.4.5 6-K 8/24/26 (acc 0001104659-26-100347); NVIDIA 13G 7/20/26; EDGAR re-checked 10/9/26 6:25 PM ET: no new issuer filing, no Q3 date release. Workpapers: fd_share_bridge.xlsx, appendix_filings_capital_final.docx.</w:t>
      </w:r>
    </w:p>
    <w:sectPr w:rsidR="00FC693F" w:rsidRPr="0006063C" w:rsidSect="00034616">
      <w:pgSz w:w="15840" w:h="12240" w:orient="landscape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