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Dilution / convert scenarios — one-pager for Modeling</w:t>
      </w:r>
    </w:p>
    <w:p>
      <w:r>
        <w:rPr>
          <w:b/>
        </w:rPr>
        <w:t>As of:</w:t>
      </w:r>
      <w:r>
        <w:rPr>
          <w:b w:val="0"/>
        </w:rPr>
        <w:t xml:space="preserve"> Mon Oct 5, 2026 (ET)  </w:t>
      </w:r>
    </w:p>
    <w:p>
      <w:r>
        <w:rPr>
          <w:b/>
        </w:rPr>
        <w:t>Audience:</w:t>
      </w:r>
      <w:r>
        <w:rPr>
          <w:b w:val="0"/>
        </w:rPr>
        <w:t xml:space="preserve"> Modeling (wire companion dilution_scenarios.xlsx)  </w:t>
      </w:r>
    </w:p>
    <w:p>
      <w:r>
        <w:rPr>
          <w:b/>
        </w:rPr>
        <w:t>Public information only.</w:t>
      </w:r>
      <w:r>
        <w:rPr>
          <w:b w:val="0"/>
        </w:rPr>
        <w:t xml:space="preserve"> Tags: </w:t>
      </w:r>
      <w:r>
        <w:rPr>
          <w:b/>
        </w:rPr>
        <w:t>[R]</w:t>
      </w:r>
      <w:r>
        <w:rPr>
          <w:b w:val="0"/>
        </w:rPr>
        <w:t xml:space="preserve"> Reported · </w:t>
      </w:r>
      <w:r>
        <w:rPr>
          <w:b/>
        </w:rPr>
        <w:t>[D]</w:t>
      </w:r>
      <w:r>
        <w:rPr>
          <w:b w:val="0"/>
        </w:rPr>
        <w:t xml:space="preserve"> Derived (math shown) · </w:t>
      </w:r>
      <w:r>
        <w:rPr>
          <w:b/>
        </w:rPr>
        <w:t>[E]</w:t>
      </w:r>
      <w:r>
        <w:rPr>
          <w:b w:val="0"/>
        </w:rPr>
        <w:t xml:space="preserve"> Estimated (labelled placeholder).</w:t>
      </w:r>
    </w:p>
    <w:p>
      <w:r>
        <w:rPr>
          <w:b/>
        </w:rPr>
        <w:t>FROZEN for the Sunday pack (Thu Oct 8, 2026, 3:10 PM ET).</w:t>
      </w:r>
      <w:r>
        <w:rPr>
          <w:b w:val="0"/>
        </w:rPr>
        <w:t xml:space="preserve"> Sections A–E are the 6/30 base as written on 10/5. Where they differ, these v0.9e figures supersede them:</w:t>
      </w:r>
    </w:p>
    <w:p>
      <w:pPr>
        <w:pStyle w:val="ListBullet"/>
      </w:pPr>
      <w:r>
        <w:rPr>
          <w:b/>
        </w:rPr>
        <w:t>PT share count:</w:t>
      </w:r>
      <w:r>
        <w:rPr>
          <w:b w:val="0"/>
        </w:rPr>
        <w:t xml:space="preserve"> base FD </w:t>
      </w:r>
      <w:r>
        <w:rPr>
          <w:b/>
        </w:rPr>
        <w:t>358,558,306</w:t>
      </w:r>
      <w:r>
        <w:rPr>
          <w:b w:val="0"/>
        </w:rPr>
        <w:t xml:space="preserve"> [D] (6/30 FD 358,337,958, less the exchanged Jun-29/31 conversion shares, plus the ~15.8M exchange shares; new Feb-30/Feb-34 notes treated as debt). It's </w:t>
      </w:r>
      <w:r>
        <w:rPr>
          <w:b/>
        </w:rPr>
        <w:t>369,564,496</w:t>
      </w:r>
      <w:r>
        <w:rPr>
          <w:b w:val="0"/>
        </w:rPr>
        <w:t xml:space="preserve"> for PTs between $313.46 and $324.65, and </w:t>
      </w:r>
      <w:r>
        <w:rPr>
          <w:b/>
        </w:rPr>
        <w:t>376,648,956</w:t>
      </w:r>
      <w:r>
        <w:rPr>
          <w:b w:val="0"/>
        </w:rPr>
        <w:t xml:space="preserve"> above $324.65 [D]. See fd_share_bridge.md.</w:t>
      </w:r>
    </w:p>
    <w:p>
      <w:pPr>
        <w:pStyle w:val="ListBullet"/>
      </w:pPr>
      <w:r>
        <w:rPr>
          <w:b/>
        </w:rPr>
        <w:t>No-vote headroom:</w:t>
      </w:r>
      <w:r>
        <w:rPr>
          <w:b w:val="0"/>
        </w:rPr>
        <w:t xml:space="preserve"> net </w:t>
      </w:r>
      <w:r>
        <w:rPr>
          <w:b/>
        </w:rPr>
        <w:t>~78–97M</w:t>
      </w:r>
      <w:r>
        <w:rPr>
          <w:b w:val="0"/>
        </w:rPr>
        <w:t xml:space="preserve"> [D]. That's ~78M if the exchange shares came from treasury and ~97M if they were newly issued; the settlement source isn't disclosed. This replaces the 93.5M net figure in section B.</w:t>
      </w:r>
    </w:p>
    <w:p>
      <w:pPr>
        <w:pStyle w:val="ListBullet"/>
      </w:pPr>
      <w:r>
        <w:rPr>
          <w:b/>
        </w:rPr>
        <w:t>Funding gap:</w:t>
      </w:r>
      <w:r>
        <w:rPr>
          <w:b w:val="0"/>
        </w:rPr>
        <w:t xml:space="preserve"> case (a) needs ~215M shares of authority, </w:t>
      </w:r>
      <w:r>
        <w:rPr>
          <w:b/>
        </w:rPr>
        <w:t>~2.8×</w:t>
      </w:r>
      <w:r>
        <w:rPr>
          <w:b w:val="0"/>
        </w:rPr>
        <w:t xml:space="preserve"> the ~77.8M net no-vote headroom [D, model v0.9e].</w:t>
      </w:r>
    </w:p>
    <w:p>
      <w:pPr>
        <w:pStyle w:val="ListBullet"/>
      </w:pPr>
      <w:r>
        <w:rPr>
          <w:b/>
        </w:rPr>
        <w:t>Older converts:</w:t>
      </w:r>
      <w:r>
        <w:rPr>
          <w:b w:val="0"/>
        </w:rPr>
        <w:t xml:space="preserve"> </w:t>
      </w:r>
      <w:r>
        <w:rPr>
          <w:b/>
        </w:rPr>
        <w:t>$7,675.0M</w:t>
      </w:r>
      <w:r>
        <w:rPr>
          <w:b w:val="0"/>
        </w:rPr>
        <w:t xml:space="preserve"> face remaining (Jun-29/31 $87.5M each after the Aug exchange). The maturity claim is </w:t>
      </w:r>
      <w:r>
        <w:rPr>
          <w:b/>
        </w:rPr>
        <w:t>$9,051.9M</w:t>
      </w:r>
      <w:r>
        <w:rPr>
          <w:b w:val="0"/>
        </w:rPr>
        <w:t xml:space="preserve"> [D], which matches model v0.9e (see correction at end).</w:t>
      </w:r>
    </w:p>
    <w:p>
      <w:pPr>
        <w:pStyle w:val="ListBullet"/>
      </w:pPr>
      <w:r>
        <w:rPr>
          <w:b/>
        </w:rPr>
        <w:t>EDGAR re-check 3:05 PM ET 10/8:</w:t>
      </w:r>
      <w:r>
        <w:rPr>
          <w:b w:val="0"/>
        </w:rPr>
        <w:t xml:space="preserve"> there's no new issuer 6-K, 424B5/ATM, F-3/S-8, or Q3 date PR since this morning. The only new third-party filing is the GS 13G/A (5.1%, event 9/30), already logged in edgar_recheck_2026-10-08.md.</w:t>
      </w:r>
    </w:p>
    <w:p>
      <w:r>
        <w:rPr>
          <w:b w:val="0"/>
        </w:rPr>
        <w:t>---</w:t>
      </w:r>
    </w:p>
    <w:p>
      <w:pPr>
        <w:pStyle w:val="Heading1"/>
      </w:pPr>
      <w:r>
        <w:t>A. Share-count base at 6/30/26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5"/>
              </w:rPr>
              <w:t>Item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Shares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Tag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Source / note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Class A outstanding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**238,400,165**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Q2 PR / outstanding shares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Class B outstanding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**33,455,053**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Q2 PR (10 votes/share)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Class A issued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**288,585,891**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Q2FS Note 14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Treasury Class A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**50,185,726**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[D]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288,585,891 − 238,400,165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Issued Class A + Class B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**271,855,218**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Outstanding shares line; excl. warrant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NVIDIA pre-funded warrant (unexercised)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**21,065,936**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Q2FS Note 14; $0.0001 strike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Warrant in **basic WASO**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Yes, from issue date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Q2FS Note 1 EPS policy — included in basic/diluted WASO even though unexercised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Warrant in **issued &amp; outstanding**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Not in the 271,855,218 issued count until exercise; settles from treasury or authorized capital (FY25 20-F)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ATM sold in Q2 2026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**12,729,493**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Note 14; WA **$223.60** [R]; net **$2,811.1M** [R]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ATM remaining (of 25M program)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**12,270,507**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25,000,000 − 12,729,493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Q2 basic = diluted WASO (net loss)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**280,381,615**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= basic; converts anti-dilutive</w:t>
            </w:r>
          </w:p>
        </w:tc>
      </w:tr>
    </w:tbl>
    <w:p>
      <w:r>
        <w:rPr>
          <w:b w:val="0"/>
        </w:rPr>
        <w:t>---</w:t>
      </w:r>
    </w:p>
    <w:p>
      <w:pPr>
        <w:pStyle w:val="Heading1"/>
      </w:pPr>
      <w:r>
        <w:t>B. No-vote Class A funding capacity</w:t>
      </w:r>
    </w:p>
    <w:p>
      <w:r>
        <w:rPr>
          <w:b w:val="0"/>
        </w:rPr>
        <w:t>From funding_capacity_note.md (AGM Items 13–14 PASSED 8/25/26):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Shares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Tag</w:t>
            </w:r>
          </w:p>
        </w:tc>
        <w:tc>
          <w:tcPr>
            <w:tcW w:type="dxa" w:w="3600"/>
          </w:tcPr>
          <w:p>
            <w:r>
              <w:rPr>
                <w:b/>
                <w:sz w:val="15"/>
              </w:rPr>
              <w:t>Math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Treasury 6/30/26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50,185,726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[D]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issued − outstanding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AGM 20% pool (snapshot)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64,408,189 ≈ 64.4M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[D]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20% × (288,585,891 + 33,455,053) = 20% × 322,040,944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**Gross headroom (no new vote)**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**114,593,915 ≈ 114.6M**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[D]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50,185,726 + 64,408,189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Less unexercised NVIDIA warrant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(21,065,936)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[R]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Settlement from treasury or authorized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sz w:val="15"/>
              </w:rPr>
              <w:t>**Net headroom**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**93,527,979 ≈ 93.5M**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[D]</w:t>
            </w:r>
          </w:p>
        </w:tc>
        <w:tc>
          <w:tcPr>
            <w:tcW w:type="dxa" w:w="3600"/>
          </w:tcPr>
          <w:p>
            <w:r>
              <w:rPr>
                <w:b w:val="0"/>
                <w:sz w:val="15"/>
              </w:rPr>
              <w:t>114,593,915 − 21,065,936</w:t>
            </w:r>
          </w:p>
        </w:tc>
      </w:tr>
    </w:tbl>
    <w:p>
      <w:r>
        <w:rPr>
          <w:b w:val="0"/>
        </w:rPr>
        <w:t>Modeling shorthand: ~</w:t>
      </w:r>
      <w:r>
        <w:rPr>
          <w:b/>
        </w:rPr>
        <w:t>94–115M</w:t>
      </w:r>
      <w:r>
        <w:rPr>
          <w:b w:val="0"/>
        </w:rPr>
        <w:t xml:space="preserve"> Class A funding-capacity shares without a new AGM vote.</w:t>
      </w:r>
    </w:p>
    <w:p>
      <w:r>
        <w:rPr>
          <w:b w:val="0"/>
        </w:rPr>
        <w:t>---</w:t>
      </w:r>
    </w:p>
    <w:p>
      <w:pPr>
        <w:pStyle w:val="Heading1"/>
      </w:pPr>
      <w:r>
        <w:t>C. Convertible notes &amp; dilution scenarios</w:t>
      </w:r>
    </w:p>
    <w:p>
      <w:r>
        <w:rPr>
          <w:b w:val="0"/>
        </w:rPr>
        <w:t>### Convert stack at 6/30/26 (Q2FS Note 12) — pre Aug-26 exchange/new 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>
              <w:rPr>
                <w:b/>
                <w:sz w:val="15"/>
              </w:rPr>
              <w:t>Metric</w:t>
            </w:r>
          </w:p>
        </w:tc>
        <w:tc>
          <w:tcPr>
            <w:tcW w:type="dxa" w:w="4800"/>
          </w:tcPr>
          <w:p>
            <w:r>
              <w:rPr>
                <w:b/>
                <w:sz w:val="15"/>
              </w:rPr>
              <w:t>$M</w:t>
            </w:r>
          </w:p>
        </w:tc>
        <w:tc>
          <w:tcPr>
            <w:tcW w:type="dxa" w:w="4800"/>
          </w:tcPr>
          <w:p>
            <w:r>
              <w:rPr>
                <w:b/>
                <w:sz w:val="15"/>
              </w:rPr>
              <w:t>Tag</w:t>
            </w:r>
          </w:p>
        </w:tc>
      </w:tr>
      <w:tr>
        <w:tc>
          <w:tcPr>
            <w:tcW w:type="dxa" w:w="4800"/>
          </w:tcPr>
          <w:p>
            <w:r>
              <w:rPr>
                <w:b w:val="0"/>
                <w:sz w:val="15"/>
              </w:rPr>
              <w:t>Carrying amount</w:t>
            </w:r>
          </w:p>
        </w:tc>
        <w:tc>
          <w:tcPr>
            <w:tcW w:type="dxa" w:w="4800"/>
          </w:tcPr>
          <w:p>
            <w:r>
              <w:rPr>
                <w:b w:val="0"/>
                <w:sz w:val="15"/>
              </w:rPr>
              <w:t>**8,499.0**</w:t>
            </w:r>
          </w:p>
        </w:tc>
        <w:tc>
          <w:tcPr>
            <w:tcW w:type="dxa" w:w="4800"/>
          </w:tcPr>
          <w:p>
            <w:r>
              <w:rPr>
                <w:b w:val="0"/>
                <w:sz w:val="15"/>
              </w:rPr>
              <w:t>[R]</w:t>
            </w:r>
          </w:p>
        </w:tc>
      </w:tr>
      <w:tr>
        <w:tc>
          <w:tcPr>
            <w:tcW w:type="dxa" w:w="4800"/>
          </w:tcPr>
          <w:p>
            <w:r>
              <w:rPr>
                <w:b w:val="0"/>
                <w:sz w:val="15"/>
              </w:rPr>
              <w:t>Accreted principal at maturity</w:t>
            </w:r>
          </w:p>
        </w:tc>
        <w:tc>
          <w:tcPr>
            <w:tcW w:type="dxa" w:w="4800"/>
          </w:tcPr>
          <w:p>
            <w:r>
              <w:rPr>
                <w:b w:val="0"/>
                <w:sz w:val="15"/>
              </w:rPr>
              <w:t>**10,041.8**</w:t>
            </w:r>
          </w:p>
        </w:tc>
        <w:tc>
          <w:tcPr>
            <w:tcW w:type="dxa" w:w="4800"/>
          </w:tcPr>
          <w:p>
            <w:r>
              <w:rPr>
                <w:b w:val="0"/>
                <w:sz w:val="15"/>
              </w:rPr>
              <w:t>[R]</w:t>
            </w:r>
          </w:p>
        </w:tc>
      </w:tr>
      <w:tr>
        <w:tc>
          <w:tcPr>
            <w:tcW w:type="dxa" w:w="4800"/>
          </w:tcPr>
          <w:p>
            <w:r>
              <w:rPr>
                <w:b w:val="0"/>
                <w:sz w:val="15"/>
              </w:rPr>
              <w:t>Fair value (Level 3)</w:t>
            </w:r>
          </w:p>
        </w:tc>
        <w:tc>
          <w:tcPr>
            <w:tcW w:type="dxa" w:w="4800"/>
          </w:tcPr>
          <w:p>
            <w:r>
              <w:rPr>
                <w:b w:val="0"/>
                <w:sz w:val="15"/>
              </w:rPr>
              <w:t>**20,823.7**</w:t>
            </w:r>
          </w:p>
        </w:tc>
        <w:tc>
          <w:tcPr>
            <w:tcW w:type="dxa" w:w="4800"/>
          </w:tcPr>
          <w:p>
            <w:r>
              <w:rPr>
                <w:b w:val="0"/>
                <w:sz w:val="15"/>
              </w:rPr>
              <w:t>[R]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b/>
                <w:sz w:val="15"/>
              </w:rPr>
              <w:t>Series</w:t>
            </w:r>
          </w:p>
        </w:tc>
        <w:tc>
          <w:tcPr>
            <w:tcW w:type="dxa" w:w="2057"/>
          </w:tcPr>
          <w:p>
            <w:r>
              <w:rPr>
                <w:b/>
                <w:sz w:val="15"/>
              </w:rPr>
              <w:t>Remaining orig. principal 6/30 ($M)</w:t>
            </w:r>
          </w:p>
        </w:tc>
        <w:tc>
          <w:tcPr>
            <w:tcW w:type="dxa" w:w="2057"/>
          </w:tcPr>
          <w:p>
            <w:r>
              <w:rPr>
                <w:b/>
                <w:sz w:val="15"/>
              </w:rPr>
              <w:t>Conv. rate (sh/$1k)</w:t>
            </w:r>
          </w:p>
        </w:tc>
        <w:tc>
          <w:tcPr>
            <w:tcW w:type="dxa" w:w="2057"/>
          </w:tcPr>
          <w:p>
            <w:r>
              <w:rPr>
                <w:b/>
                <w:sz w:val="15"/>
              </w:rPr>
              <w:t>Conv. price ($)</w:t>
            </w:r>
          </w:p>
        </w:tc>
        <w:tc>
          <w:tcPr>
            <w:tcW w:type="dxa" w:w="2057"/>
          </w:tcPr>
          <w:p>
            <w:r>
              <w:rPr>
                <w:b/>
                <w:sz w:val="15"/>
              </w:rPr>
              <w:t>Note 12 accreted ($M)</w:t>
            </w:r>
          </w:p>
        </w:tc>
        <w:tc>
          <w:tcPr>
            <w:tcW w:type="dxa" w:w="2057"/>
          </w:tcPr>
          <w:p>
            <w:r>
              <w:rPr>
                <w:b/>
                <w:sz w:val="15"/>
              </w:rPr>
              <w:t>Carrying ($M)</w:t>
            </w:r>
          </w:p>
        </w:tc>
        <w:tc>
          <w:tcPr>
            <w:tcW w:type="dxa" w:w="2057"/>
          </w:tcPr>
          <w:p>
            <w:r>
              <w:rPr>
                <w:b/>
                <w:sz w:val="15"/>
              </w:rPr>
              <w:t>Tag</w:t>
            </w:r>
          </w:p>
        </w:tc>
      </w:tr>
      <w:tr>
        <w:tc>
          <w:tcPr>
            <w:tcW w:type="dxa" w:w="2057"/>
          </w:tcPr>
          <w:p>
            <w:r>
              <w:rPr>
                <w:b w:val="0"/>
                <w:sz w:val="15"/>
              </w:rPr>
              <w:t>2.00% Jun-2029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487.5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19.4363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51.45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587.5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504.1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[R]/[D] remaining</w:t>
            </w:r>
          </w:p>
        </w:tc>
      </w:tr>
      <w:tr>
        <w:tc>
          <w:tcPr>
            <w:tcW w:type="dxa" w:w="2057"/>
          </w:tcPr>
          <w:p>
            <w:r>
              <w:rPr>
                <w:b w:val="0"/>
                <w:sz w:val="15"/>
              </w:rPr>
              <w:t>3.00% Jun-2031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487.5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19.4363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51.45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612.5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498.4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[R]/[D] remaining</w:t>
            </w:r>
          </w:p>
        </w:tc>
      </w:tr>
      <w:tr>
        <w:tc>
          <w:tcPr>
            <w:tcW w:type="dxa" w:w="2057"/>
          </w:tcPr>
          <w:p>
            <w:r>
              <w:rPr>
                <w:b w:val="0"/>
                <w:sz w:val="15"/>
              </w:rPr>
              <w:t>1.00% Sep-2030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1581.25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7.2072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138.75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1818.4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1588.2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[R]/[D] remaining</w:t>
            </w:r>
          </w:p>
        </w:tc>
      </w:tr>
      <w:tr>
        <w:tc>
          <w:tcPr>
            <w:tcW w:type="dxa" w:w="2057"/>
          </w:tcPr>
          <w:p>
            <w:r>
              <w:rPr>
                <w:b w:val="0"/>
                <w:sz w:val="15"/>
              </w:rPr>
              <w:t>2.75% Sep-2032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1581.25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7.2072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138.75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1818.4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1575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[R]/[D] remaining</w:t>
            </w:r>
          </w:p>
        </w:tc>
      </w:tr>
      <w:tr>
        <w:tc>
          <w:tcPr>
            <w:tcW w:type="dxa" w:w="2057"/>
          </w:tcPr>
          <w:p>
            <w:r>
              <w:rPr>
                <w:b w:val="0"/>
                <w:sz w:val="15"/>
              </w:rPr>
              <w:t>1.25% Mar-2031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2587.5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5.4579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183.22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3105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2588.6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[R]/[D] remaining</w:t>
            </w:r>
          </w:p>
        </w:tc>
      </w:tr>
      <w:tr>
        <w:tc>
          <w:tcPr>
            <w:tcW w:type="dxa" w:w="2057"/>
          </w:tcPr>
          <w:p>
            <w:r>
              <w:rPr>
                <w:b w:val="0"/>
                <w:sz w:val="15"/>
              </w:rPr>
              <w:t>2.625% Mar-2033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1750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5.546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180.31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2100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1744.7</w:t>
            </w:r>
          </w:p>
        </w:tc>
        <w:tc>
          <w:tcPr>
            <w:tcW w:type="dxa" w:w="2057"/>
          </w:tcPr>
          <w:p>
            <w:r>
              <w:rPr>
                <w:b w:val="0"/>
                <w:sz w:val="15"/>
              </w:rPr>
              <w:t>[R]/[D] remaining</w:t>
            </w:r>
          </w:p>
        </w:tc>
      </w:tr>
    </w:tbl>
    <w:p>
      <w:r>
        <w:rPr>
          <w:b/>
        </w:rPr>
        <w:t>If-converted shares excluded from diluted EPS (Q2 loss):</w:t>
      </w:r>
      <w:r>
        <w:rPr>
          <w:b w:val="0"/>
        </w:rPr>
        <w:t xml:space="preserve"> </w:t>
      </w:r>
      <w:r>
        <w:rPr>
          <w:b/>
        </w:rPr>
        <w:t>65,416,804</w:t>
      </w:r>
      <w:r>
        <w:rPr>
          <w:b w:val="0"/>
        </w:rPr>
        <w:t xml:space="preserve"> [R] — Q2FS Note 1: “The weighted average number of incremental shares under the if-converted method for the convertible notes excluded from the computation because their effect was anti-dilutive was </w:t>
      </w:r>
      <w:r>
        <w:rPr>
          <w:b/>
        </w:rPr>
        <w:t>65,416,804</w:t>
      </w:r>
      <w:r>
        <w:rPr>
          <w:b w:val="0"/>
        </w:rPr>
        <w:t xml:space="preserve"> for the three months … ended June 30, 2026.” Cross-check [D]: initial rates × pre-exchange orig. principal ≈ 65.57M (within ~0.2%).</w:t>
      </w:r>
    </w:p>
    <w:p>
      <w:r>
        <w:rPr>
          <w:b w:val="0"/>
        </w:rPr>
        <w:t>Post-period (not in 6/30 BS): Aug-26 exchange retired $400M of each Jun-2029/2031 note for ~15.8M shares [R]; new $3,450M 0.50% Feb-2030 + $2,300M 4.50% Feb-2034 [R]. Use CapStructure / Converts sheet for post-period waterfall.</w:t>
      </w:r>
    </w:p>
    <w:p>
      <w:r>
        <w:rPr>
          <w:b w:val="0"/>
        </w:rPr>
        <w:t>### Fully diluted (FD) definition used here</w:t>
      </w:r>
    </w:p>
    <w:p>
      <w:r>
        <w:rPr>
          <w:b/>
        </w:rPr>
        <w:t>FD = Class A outstanding + Class B + NVIDIA warrant + if-converted converts</w:t>
      </w:r>
      <w:r>
        <w:rPr>
          <w:b w:val="0"/>
        </w:rPr>
        <w:t xml:space="preserve">  </w:t>
      </w:r>
    </w:p>
    <w:p>
      <w:r>
        <w:rPr>
          <w:b w:val="0"/>
        </w:rPr>
        <w:t xml:space="preserve">= 238,400,165 + 33,455,053 + 21,065,936 + 65,416,804  </w:t>
      </w:r>
    </w:p>
    <w:p>
      <w:r>
        <w:rPr>
          <w:b w:val="0"/>
        </w:rPr>
        <w:t xml:space="preserve">= </w:t>
      </w:r>
      <w:r>
        <w:rPr>
          <w:b/>
        </w:rPr>
        <w:t>358,337,958</w:t>
      </w:r>
      <w:r>
        <w:rPr>
          <w:b w:val="0"/>
        </w:rPr>
        <w:t xml:space="preserve"> [D]</w:t>
      </w:r>
    </w:p>
    <w:p>
      <w:r>
        <w:rPr>
          <w:b w:val="0"/>
        </w:rPr>
        <w:t>(Excludes RSUs/options/ATM remainder and post-6/30 Aug exchange shares — those sit in CapStructure waterfall separately.)</w:t>
      </w:r>
    </w:p>
    <w:p>
      <w:r>
        <w:rPr>
          <w:b w:val="0"/>
        </w:rPr>
        <w:t>### Scenario table — equity issuance / ATM</w:t>
      </w:r>
    </w:p>
    <w:p>
      <w:r>
        <w:rPr>
          <w:b w:val="0"/>
        </w:rPr>
        <w:t>Shares issued under each scenario; gross proceeds = shares × price. Dilution % = shares issued ÷ base (Class A out or FD). Headroom scenarios are incremental Class A from treasury + AGM 20% pool (no new vote).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Shares issued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Tag shares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Gross proceeds @ $223.60 [R] ($M)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@ $150 [E] ($M)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@ $100 [E] ($M)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Dilution vs Class A out</w:t>
            </w:r>
          </w:p>
        </w:tc>
        <w:tc>
          <w:tcPr>
            <w:tcW w:type="dxa" w:w="1800"/>
          </w:tcPr>
          <w:p>
            <w:r>
              <w:rPr>
                <w:b/>
                <w:sz w:val="15"/>
              </w:rPr>
              <w:t>Dilution vs FD</w:t>
            </w:r>
          </w:p>
        </w:tc>
      </w:tr>
      <w:tr>
        <w:tc>
          <w:tcPr>
            <w:tcW w:type="dxa" w:w="1800"/>
          </w:tcPr>
          <w:p>
            <w:r>
              <w:rPr>
                <w:b w:val="0"/>
                <w:sz w:val="15"/>
              </w:rPr>
              <w:t>Status quo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0%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0%</w:t>
            </w:r>
          </w:p>
        </w:tc>
      </w:tr>
      <w:tr>
        <w:tc>
          <w:tcPr>
            <w:tcW w:type="dxa" w:w="1800"/>
          </w:tcPr>
          <w:p>
            <w:r>
              <w:rPr>
                <w:b w:val="0"/>
                <w:sz w:val="15"/>
              </w:rPr>
              <w:t>ATM exhaust remainder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12,270,507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[D]/[R]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2,743.7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1,840.6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1,227.1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**5.1%**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**3.4%**</w:t>
            </w:r>
          </w:p>
        </w:tc>
      </w:tr>
      <w:tr>
        <w:tc>
          <w:tcPr>
            <w:tcW w:type="dxa" w:w="1800"/>
          </w:tcPr>
          <w:p>
            <w:r>
              <w:rPr>
                <w:b w:val="0"/>
                <w:sz w:val="15"/>
              </w:rPr>
              <w:t>Issue 50% of net headroom (~47M)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46,763,990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[D]/[R]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10,456.4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7,014.6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4,676.4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**19.6%**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**13.1%**</w:t>
            </w:r>
          </w:p>
        </w:tc>
      </w:tr>
      <w:tr>
        <w:tc>
          <w:tcPr>
            <w:tcW w:type="dxa" w:w="1800"/>
          </w:tcPr>
          <w:p>
            <w:r>
              <w:rPr>
                <w:b w:val="0"/>
                <w:sz w:val="15"/>
              </w:rPr>
              <w:t>Issue 100% of net headroom (~94M)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93,527,979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[D]/[R]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20,912.9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14,029.2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9,352.8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**39.2%**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**26.1%**</w:t>
            </w:r>
          </w:p>
        </w:tc>
      </w:tr>
      <w:tr>
        <w:tc>
          <w:tcPr>
            <w:tcW w:type="dxa" w:w="1800"/>
          </w:tcPr>
          <w:p>
            <w:r>
              <w:rPr>
                <w:b w:val="0"/>
                <w:sz w:val="15"/>
              </w:rPr>
              <w:t>Issue 50% of gross headroom (~57M)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57,296,958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[D]/[R]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12,811.6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8,594.5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5,729.7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**24.0%**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**16.0%**</w:t>
            </w:r>
          </w:p>
        </w:tc>
      </w:tr>
      <w:tr>
        <w:tc>
          <w:tcPr>
            <w:tcW w:type="dxa" w:w="1800"/>
          </w:tcPr>
          <w:p>
            <w:r>
              <w:rPr>
                <w:b w:val="0"/>
                <w:sz w:val="15"/>
              </w:rPr>
              <w:t>Issue 100% of gross headroom (~115M)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114,593,915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[D]/[R]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25,623.2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17,189.1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11,459.4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**48.1%**</w:t>
            </w:r>
          </w:p>
        </w:tc>
        <w:tc>
          <w:tcPr>
            <w:tcW w:type="dxa" w:w="1800"/>
          </w:tcPr>
          <w:p>
            <w:r>
              <w:rPr>
                <w:b w:val="0"/>
                <w:sz w:val="15"/>
              </w:rPr>
              <w:t>**32.0%**</w:t>
            </w:r>
          </w:p>
        </w:tc>
      </w:tr>
    </w:tbl>
    <w:p>
      <w:r>
        <w:rPr>
          <w:b/>
        </w:rPr>
        <w:t>Read of key cells (Modeling wire):</w:t>
      </w:r>
    </w:p>
    <w:p>
      <w:pPr>
        <w:pStyle w:val="ListBullet"/>
      </w:pPr>
      <w:r>
        <w:rPr>
          <w:b w:val="0"/>
        </w:rPr>
        <w:t xml:space="preserve">ATM exhaust @ $223.60 [R]: </w:t>
      </w:r>
      <w:r>
        <w:rPr>
          <w:b/>
        </w:rPr>
        <w:t>12,270,507</w:t>
      </w:r>
      <w:r>
        <w:rPr>
          <w:b w:val="0"/>
        </w:rPr>
        <w:t xml:space="preserve"> sh → </w:t>
      </w:r>
      <w:r>
        <w:rPr>
          <w:b/>
        </w:rPr>
        <w:t>$2,743.7M</w:t>
      </w:r>
      <w:r>
        <w:rPr>
          <w:b w:val="0"/>
        </w:rPr>
        <w:t xml:space="preserve"> gross; </w:t>
      </w:r>
      <w:r>
        <w:rPr>
          <w:b/>
        </w:rPr>
        <w:t>5.1%</w:t>
      </w:r>
      <w:r>
        <w:rPr>
          <w:b w:val="0"/>
        </w:rPr>
        <w:t xml:space="preserve"> vs Class A / </w:t>
      </w:r>
      <w:r>
        <w:rPr>
          <w:b/>
        </w:rPr>
        <w:t>3.4%</w:t>
      </w:r>
      <w:r>
        <w:rPr>
          <w:b w:val="0"/>
        </w:rPr>
        <w:t xml:space="preserve"> vs FD.</w:t>
      </w:r>
    </w:p>
    <w:p>
      <w:pPr>
        <w:pStyle w:val="ListBullet"/>
      </w:pPr>
      <w:r>
        <w:rPr>
          <w:b w:val="0"/>
        </w:rPr>
        <w:t xml:space="preserve">100% net headroom (93,527,979) @ $223.60: </w:t>
      </w:r>
      <w:r>
        <w:rPr>
          <w:b/>
        </w:rPr>
        <w:t>$20,912.9M</w:t>
      </w:r>
      <w:r>
        <w:rPr>
          <w:b w:val="0"/>
        </w:rPr>
        <w:t xml:space="preserve"> gross; </w:t>
      </w:r>
      <w:r>
        <w:rPr>
          <w:b/>
        </w:rPr>
        <w:t>39.2%</w:t>
      </w:r>
      <w:r>
        <w:rPr>
          <w:b w:val="0"/>
        </w:rPr>
        <w:t xml:space="preserve"> / </w:t>
      </w:r>
      <w:r>
        <w:rPr>
          <w:b/>
        </w:rPr>
        <w:t>26.1%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100% gross headroom (114,593,915) @ $223.60: </w:t>
      </w:r>
      <w:r>
        <w:rPr>
          <w:b/>
        </w:rPr>
        <w:t>$25,623.2M</w:t>
      </w:r>
      <w:r>
        <w:rPr>
          <w:b w:val="0"/>
        </w:rPr>
        <w:t xml:space="preserve"> gross; </w:t>
      </w:r>
      <w:r>
        <w:rPr>
          <w:b/>
        </w:rPr>
        <w:t>48.1%</w:t>
      </w:r>
      <w:r>
        <w:rPr>
          <w:b w:val="0"/>
        </w:rPr>
        <w:t xml:space="preserve"> / </w:t>
      </w:r>
      <w:r>
        <w:rPr>
          <w:b/>
        </w:rPr>
        <w:t>32.0%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Same share counts @ $100 [E] halve proceeds vs $200; dilution % is </w:t>
      </w:r>
      <w:r>
        <w:rPr>
          <w:b/>
        </w:rPr>
        <w:t>price-invariant</w:t>
      </w:r>
      <w:r>
        <w:rPr>
          <w:b w:val="0"/>
        </w:rPr>
        <w:t xml:space="preserve"> (share count only).</w:t>
      </w:r>
    </w:p>
    <w:p>
      <w:r>
        <w:rPr>
          <w:b w:val="0"/>
        </w:rPr>
        <w:t>---</w:t>
      </w:r>
    </w:p>
    <w:p>
      <w:pPr>
        <w:pStyle w:val="Heading1"/>
      </w:pPr>
      <w:r>
        <w:t>D. One-line guidance for Modeling</w:t>
      </w:r>
    </w:p>
    <w:p>
      <w:pPr>
        <w:pStyle w:val="ListBullet"/>
      </w:pPr>
      <w:r>
        <w:rPr>
          <w:b/>
        </w:rPr>
        <w:t>PT share count:</w:t>
      </w:r>
      <w:r>
        <w:rPr>
          <w:b w:val="0"/>
        </w:rPr>
        <w:t xml:space="preserve"> use </w:t>
      </w:r>
      <w:r>
        <w:rPr>
          <w:b/>
        </w:rPr>
        <w:t>FD</w:t>
      </w:r>
      <w:r>
        <w:rPr>
          <w:b w:val="0"/>
        </w:rPr>
        <w:t xml:space="preserve"> (Class A out + Class B + warrant + if-converted converts = </w:t>
      </w:r>
      <w:r>
        <w:rPr>
          <w:b/>
        </w:rPr>
        <w:t>358,337,958</w:t>
      </w:r>
      <w:r>
        <w:rPr>
          <w:b w:val="0"/>
        </w:rPr>
        <w:t xml:space="preserve"> [D] at 6/30) for per-share valuation / price-target math; cite </w:t>
      </w:r>
      <w:r>
        <w:rPr>
          <w:b/>
        </w:rPr>
        <w:t>basic</w:t>
      </w:r>
      <w:r>
        <w:rPr>
          <w:b w:val="0"/>
        </w:rPr>
        <w:t xml:space="preserve"> Class A outstanding (</w:t>
      </w:r>
      <w:r>
        <w:rPr>
          <w:b/>
        </w:rPr>
        <w:t>238,400,165</w:t>
      </w:r>
      <w:r>
        <w:rPr>
          <w:b w:val="0"/>
        </w:rPr>
        <w:t xml:space="preserve"> [R]) only when the slide is explicitly “per Class A share outstanding.” Do </w:t>
      </w:r>
      <w:r>
        <w:rPr>
          <w:b/>
        </w:rPr>
        <w:t>not</w:t>
      </w:r>
      <w:r>
        <w:rPr>
          <w:b w:val="0"/>
        </w:rPr>
        <w:t xml:space="preserve"> use WASO alone for PT without stating warrant inclusion.</w:t>
      </w:r>
    </w:p>
    <w:p>
      <w:pPr>
        <w:pStyle w:val="ListBullet"/>
      </w:pPr>
      <w:r>
        <w:rPr>
          <w:b/>
        </w:rPr>
        <w:t>Cash / credit timing stays separate from dilution:</w:t>
      </w:r>
      <w:r>
        <w:rPr>
          <w:b w:val="0"/>
        </w:rPr>
        <w:t xml:space="preserve"> deferred-revenue recognition and customer prepay credit schedules are </w:t>
      </w:r>
      <w:r>
        <w:rPr>
          <w:b/>
        </w:rPr>
        <w:t>not</w:t>
      </w:r>
      <w:r>
        <w:rPr>
          <w:b w:val="0"/>
        </w:rPr>
        <w:t xml:space="preserve"> share-count inputs — see payback_recon_inputs.md / deferred_rpo_rollforward.xlsx. Do not bake recognition timing into the dilution waterfall.</w:t>
      </w:r>
    </w:p>
    <w:p>
      <w:r>
        <w:rPr>
          <w:b w:val="0"/>
        </w:rPr>
        <w:t>---</w:t>
      </w:r>
    </w:p>
    <w:p>
      <w:pPr>
        <w:pStyle w:val="Heading1"/>
      </w:pPr>
      <w:r>
        <w:t>E. Gaps</w:t>
      </w:r>
    </w:p>
    <w:p>
      <w:pPr>
        <w:pStyle w:val="ListBullet"/>
      </w:pPr>
      <w:r>
        <w:rPr>
          <w:b/>
        </w:rPr>
        <w:t>Post-6/30 ATM</w:t>
      </w:r>
      <w:r>
        <w:rPr>
          <w:b w:val="0"/>
        </w:rPr>
        <w:t xml:space="preserve"> sales: not yet in balance sheet / Note 14; remaining capacity may already be lower.</w:t>
      </w:r>
    </w:p>
    <w:p>
      <w:pPr>
        <w:pStyle w:val="ListBullet"/>
      </w:pPr>
      <w:r>
        <w:rPr>
          <w:b/>
        </w:rPr>
        <w:t>NVIDIA warrant exercise:</w:t>
      </w:r>
      <w:r>
        <w:rPr>
          <w:b w:val="0"/>
        </w:rPr>
        <w:t xml:space="preserve"> undisclosed through latest 6-Ks (through 10/1/26 Inferize); still treated as unexercised.</w:t>
      </w:r>
    </w:p>
    <w:p>
      <w:pPr>
        <w:pStyle w:val="ListBullet"/>
      </w:pPr>
      <w:r>
        <w:rPr>
          <w:b/>
        </w:rPr>
        <w:t>$775M senior secured facility</w:t>
      </w:r>
      <w:r>
        <w:rPr>
          <w:b w:val="0"/>
        </w:rPr>
        <w:t xml:space="preserve"> (signed 10-Jul-2026): drawn amount </w:t>
      </w:r>
      <w:r>
        <w:rPr>
          <w:b/>
        </w:rPr>
        <w:t>undisclosed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Aug-26 ~15.8M exchange shares and new converts are </w:t>
      </w:r>
      <w:r>
        <w:rPr>
          <w:b/>
        </w:rPr>
        <w:t>post-period</w:t>
      </w:r>
      <w:r>
        <w:rPr>
          <w:b w:val="0"/>
        </w:rPr>
        <w:t xml:space="preserve"> vs this 6/30 base — refresh after next interim.</w:t>
      </w:r>
    </w:p>
    <w:p>
      <w:r>
        <w:rPr>
          <w:b w:val="0"/>
        </w:rPr>
        <w:t>---</w:t>
      </w:r>
    </w:p>
    <w:p>
      <w:pPr>
        <w:pStyle w:val="Heading1"/>
      </w:pPr>
      <w:r>
        <w:t>File pointers</w:t>
      </w:r>
    </w:p>
    <w:p>
      <w:pPr>
        <w:pStyle w:val="ListBullet"/>
      </w:pPr>
      <w:r>
        <w:rPr>
          <w:b w:val="0"/>
        </w:rPr>
        <w:t>Companion workbook: dilution_scenarios.xlsx</w:t>
      </w:r>
    </w:p>
    <w:p>
      <w:pPr>
        <w:pStyle w:val="ListBullet"/>
      </w:pPr>
      <w:r>
        <w:rPr>
          <w:b w:val="0"/>
        </w:rPr>
        <w:t>Funding math: funding_capacity_note.md</w:t>
      </w:r>
    </w:p>
    <w:p>
      <w:pPr>
        <w:pStyle w:val="ListBullet"/>
      </w:pPr>
      <w:r>
        <w:rPr>
          <w:b w:val="0"/>
        </w:rPr>
        <w:t>Converts / CapStructure: nebius_filings.xlsx</w:t>
      </w:r>
    </w:p>
    <w:p>
      <w:pPr>
        <w:pStyle w:val="ListBullet"/>
      </w:pPr>
      <w:r>
        <w:rPr>
          <w:b w:val="0"/>
        </w:rPr>
        <w:t>Fact base: nebius_fact_base.md</w:t>
      </w:r>
    </w:p>
    <w:p>
      <w:r>
        <w:rPr>
          <w:b/>
        </w:rPr>
        <w:t>Correction (10/8/26):</w:t>
      </w:r>
      <w:r>
        <w:rPr>
          <w:b w:val="0"/>
        </w:rPr>
        <w:t xml:space="preserve"> the Jun-2029 / Jun-2031 "Note 12 accreted" figures ($587.5M / $612.5M) are the redemption amounts on the </w:t>
      </w:r>
      <w:r>
        <w:rPr>
          <w:b/>
        </w:rPr>
        <w:t>$500M original</w:t>
      </w:r>
      <w:r>
        <w:rPr>
          <w:b w:val="0"/>
        </w:rPr>
        <w:t xml:space="preserve"> issue (117.5% / 122.5%), not on the $487.5M remaining. On the $87.5M left after the Aug exchange, the claims at maturity are $102.8M / $107.2M [D]. The older six total </w:t>
      </w:r>
      <w:r>
        <w:rPr>
          <w:b/>
        </w:rPr>
        <w:t>$9,051.9M</w:t>
      </w:r>
      <w:r>
        <w:rPr>
          <w:b w:val="0"/>
        </w:rPr>
        <w:t xml:space="preserve"> [D], which matches model v0.9e.</w:t>
      </w:r>
    </w:p>
    <w:p>
      <w:r>
        <w:rPr>
          <w:i/>
          <w:sz w:val="16"/>
        </w:rPr>
        <w:t xml:space="preserve">Change log 2026-10-09 (1): Funding-gap ratio restated text-only from "~215M new shares, ~2.2–2.8× the no-vote headroom" to "~215M shares of authority, ~2.8× the ~77.8M net no-vote headroom" (team lock 10/9: authority needed vs 77.8M available, net of NVIDIA warrant; Grok OK 8:47 AM). No numbers changed.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