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EDGAR / newsroom re-check: Thu Oct 8, 2026 (~8:35 AM ET)</w:t>
      </w:r>
    </w:p>
    <w:p>
      <w:r>
        <w:rPr>
          <w:b/>
        </w:rPr>
        <w:t>Owner:</w:t>
      </w:r>
      <w:r>
        <w:t xml:space="preserve"> Filings &amp; Capital · </w:t>
      </w:r>
      <w:r>
        <w:rPr>
          <w:b/>
        </w:rPr>
        <w:t>Public information only</w:t>
      </w:r>
      <w:r>
        <w:t xml:space="preserve"> · Window: since the 10/5/26 ~12:30 PM ET check</w:t>
      </w:r>
    </w:p>
    <w:p>
      <w:r>
        <w:rPr>
          <w:b/>
        </w:rPr>
        <w:t>Tags:</w:t>
      </w:r>
      <w:r>
        <w:t xml:space="preserve"> </w:t>
      </w:r>
      <w:r>
        <w:rPr>
          <w:b/>
        </w:rPr>
        <w:t>[R]</w:t>
      </w:r>
      <w:r>
        <w:t xml:space="preserve"> Reported · </w:t>
      </w:r>
      <w:r>
        <w:rPr>
          <w:b/>
        </w:rPr>
        <w:t>[D]</w:t>
      </w:r>
      <w:r>
        <w:t xml:space="preserve"> Derived · </w:t>
      </w:r>
      <w:r>
        <w:rPr>
          <w:b/>
        </w:rPr>
        <w:t>[E]</w:t>
      </w:r>
      <w:r>
        <w:t xml:space="preserve"> Estimated · </w:t>
      </w:r>
      <w:r>
        <w:rPr>
          <w:b/>
        </w:rPr>
        <w:t>ND</w:t>
      </w:r>
      <w:r>
        <w:t xml:space="preserve"> = not disclosed</w:t>
      </w:r>
    </w:p>
    <w:p>
      <w:r>
        <w:rPr>
          <w:b/>
        </w:rPr>
        <w:t>Sources checked</w:t>
      </w:r>
    </w:p>
    <w:p>
      <w:pPr>
        <w:pStyle w:val="ListBullet"/>
      </w:pPr>
      <w:r>
        <w:rPr>
          <w:rFonts w:ascii="Consolas" w:hAnsi="Consolas"/>
        </w:rPr>
        <w:t>https://data.sec.gov/submissions/CIK0001513845.json</w:t>
      </w:r>
      <w:r>
        <w:t>, pulled 10/8 with a descriptive User-Agent. 501 filings in "recent", no overflow pages; 3 more than the 498 on 10/5.</w:t>
      </w:r>
    </w:p>
    <w:p>
      <w:pPr>
        <w:pStyle w:val="ListBullet"/>
      </w:pPr>
      <w:r>
        <w:t xml:space="preserve">browse-edgar list: </w:t>
      </w:r>
      <w:r>
        <w:rPr>
          <w:rFonts w:ascii="Consolas" w:hAnsi="Consolas"/>
        </w:rPr>
        <w:t>https://www.sec.gov/cgi-bin/browse-edgar?action=getcompany&amp;CIK=1513845&amp;type=&amp;dateb=&amp;owner=include&amp;count=40</w:t>
      </w:r>
    </w:p>
    <w:p>
      <w:pPr>
        <w:pStyle w:val="ListBullet"/>
      </w:pPr>
      <w:r>
        <w:t>https://nebius.com/newsroom (fetched 10/8)</w:t>
      </w:r>
    </w:p>
    <w:p>
      <w:pPr>
        <w:pStyle w:val="ListBullet"/>
      </w:pPr>
      <w:r>
        <w:t>Web/news search</w:t>
      </w:r>
    </w:p>
    <w:p>
      <w:pPr>
        <w:pStyle w:val="Heading2"/>
      </w:pPr>
      <w:r>
        <w:t>Headline</w:t>
      </w:r>
    </w:p>
    <w:p>
      <w:r>
        <w:rPr>
          <w:b/>
        </w:rPr>
        <w:t>Nothing new from the issuer.</w:t>
      </w:r>
      <w:r>
        <w:t xml:space="preserve"> There is no new 6-K, 424B5/ATM supplement, F-3/S-8, Q3 results-date PR, NVIDIA 13G/13D, facility amendment or draw disclosure, or convert/debt/equity issuance. The only new filings are third-party or insider filings: a Goldman Sachs 13G/A and insider Form 4/144 sales. </w:t>
      </w:r>
      <w:r>
        <w:rPr>
          <w:b/>
        </w:rPr>
        <w:t>Share bridge and headroom unchanged: FD pro forma stays 376,648,956 [D].</w:t>
      </w:r>
    </w:p>
    <w:p>
      <w:pPr>
        <w:pStyle w:val="Heading2"/>
      </w:pPr>
      <w:r>
        <w:t>Item-by-item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Accession / URL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Share-bridge / headroom impact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6-K (any)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Nothing new.</w:t>
            </w:r>
            <w:r>
              <w:rPr>
                <w:sz w:val="18"/>
              </w:rPr>
              <w:t xml:space="preserve"> Latest is still 10/1/26 (Inferize)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0001104659-26-112824 · https://www.sec.gov/Archives/edgar/data/1513845/000110465926112824/tm2626792d1_6k.htm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424B5 / ATM supplement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Nothing new.</w:t>
            </w:r>
            <w:r>
              <w:rPr>
                <w:sz w:val="18"/>
              </w:rPr>
              <w:t xml:space="preserve"> Latest is still 11/12/25 (25M-share ATM)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0001104659-25-110025 · https://www.sec.gov/Archives/edgar/data/1513845/000110465925110025/tm2530771-1_424b5.htm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None. ATM remaining 12,270,507 at 6/30 [R]; Q3 sales ND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F-3 / S-8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Nothing new.</w:t>
            </w:r>
            <w:r>
              <w:rPr>
                <w:sz w:val="18"/>
              </w:rPr>
              <w:t xml:space="preserve"> Latest F-3ASR and S-8 both 5/2/25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333-286932 / 333-286934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Q3 results-date PR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announced.</w:t>
            </w:r>
            <w:r>
              <w:rPr>
                <w:sz w:val="18"/>
              </w:rPr>
              <w:t xml:space="preserve"> Newsroom latest is 10/1 Inferize. Third-party calendars still conflict: Oct 22 (Bullstory/Akros) vs Nov 10 (earnings.fru.dev, MarketBeat) [E]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https://nebius.com/newsroom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n/a. For Q2 the date PR came 7/29, 14 days before results [R]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NVIDIA 13G/13G-A/13D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Nothing new.</w:t>
            </w:r>
            <w:r>
              <w:rPr>
                <w:sz w:val="18"/>
              </w:rPr>
              <w:t xml:space="preserve"> Last is the 13G of 7/20/26 (22,256,412 sh, 9.3%)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0001045810-26-000062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None. Warrant 21,065,936 still treated as unexercised [R 6/30]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Other 13G/A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NEW: Goldman Sachs 13G/A No.2</w:t>
            </w:r>
            <w:r>
              <w:rPr>
                <w:sz w:val="18"/>
              </w:rPr>
              <w:t xml:space="preserve">, filing date 10/7/26, event date </w:t>
            </w:r>
            <w:r>
              <w:rPr>
                <w:b/>
                <w:sz w:val="18"/>
              </w:rPr>
              <w:t>9/30/26</w:t>
            </w:r>
            <w:r>
              <w:rPr>
                <w:sz w:val="18"/>
              </w:rPr>
              <w:t xml:space="preserve">: </w:t>
            </w:r>
            <w:r>
              <w:rPr>
                <w:b/>
                <w:sz w:val="18"/>
              </w:rPr>
              <w:t>13,010,758</w:t>
            </w:r>
            <w:r>
              <w:rPr>
                <w:sz w:val="18"/>
              </w:rPr>
              <w:t xml:space="preserve"> sh shared dispositive (13,010,366 shared voting), </w:t>
            </w:r>
            <w:r>
              <w:rPr>
                <w:b/>
                <w:sz w:val="18"/>
              </w:rPr>
              <w:t>5.1%</w:t>
            </w:r>
            <w:r>
              <w:rPr>
                <w:sz w:val="18"/>
              </w:rPr>
              <w:t xml:space="preserve"> [R]. Down from 23,104,462 (10.5%) at 7/31 and 15,891,853 (7.2%) at 6/30 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0000886982-26-000526 · https://www.sec.gov/Archives/edgar/data/1513845/000088698226000526/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None (third-party).</w:t>
            </w:r>
            <w:r>
              <w:rPr>
                <w:sz w:val="18"/>
              </w:rPr>
              <w:t xml:space="preserve"> GS's own position (GS is an ATM sales agent [R, 424B5]); not an issuer share count. Denominator not stated. Implied 13,010,758 ÷ 5.05–5.15% = </w:t>
            </w:r>
            <w:r>
              <w:rPr>
                <w:b/>
                <w:sz w:val="18"/>
              </w:rPr>
              <w:t>252.6M–257.6M</w:t>
            </w:r>
            <w:r>
              <w:rPr>
                <w:sz w:val="18"/>
              </w:rPr>
              <w:t xml:space="preserve"> [D], consistent with our ~254.2M pro forma Class A and *not* with the stale 238.4M (which would give 5.46%). Earlier GS filings fit the 3/31 count 220,406,311. Weak corroboration only [E]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$775M facility amendment / draw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Nothing new.</w:t>
            </w:r>
            <w:r>
              <w:rPr>
                <w:sz w:val="18"/>
              </w:rPr>
              <w:t xml:space="preserve"> Drawn amount still ND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0001104659-26-084606 (6-K/A 7/17/26)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New convert / debt / equity issuance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Nothing new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Insider Form 4 (10/5, three filings; already on the 10/5 list, reviewed now)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RSU sell-to-cover on 10/1/26 at $234.16: Volozh (CEO) 37,778; Shtan (CTO) 14,546; Korolenko (CIO) 29,090; total </w:t>
            </w:r>
            <w:r>
              <w:rPr>
                <w:b/>
                <w:sz w:val="18"/>
              </w:rPr>
              <w:t>81,414</w:t>
            </w:r>
            <w:r>
              <w:rPr>
                <w:sz w:val="18"/>
              </w:rPr>
              <w:t xml:space="preserve"> sh [R/D]. Footnote: automatic sale to cover withholding tax on RSU vesting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0001513845-26-000120 / -000122 / -000124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shares sold. The RSU vesting itself delivers shares (likely from treasury [E]), which shifts excluded RSUs into Class A outstanding. Vest quantities ND in these filings; immaterial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NEW: Form 4, Ophir Nave (COO)</w:t>
            </w:r>
            <w:r>
              <w:rPr>
                <w:sz w:val="18"/>
              </w:rPr>
              <w:t xml:space="preserve"> filed 10/6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Open-market sales 10/5/26: </w:t>
            </w:r>
            <w:r>
              <w:rPr>
                <w:b/>
                <w:sz w:val="18"/>
              </w:rPr>
              <w:t>500,000</w:t>
            </w:r>
            <w:r>
              <w:rPr>
                <w:sz w:val="18"/>
              </w:rPr>
              <w:t xml:space="preserve"> sh in 12 lots at $231.12–$243.50 WA; ~</w:t>
            </w:r>
            <w:r>
              <w:rPr>
                <w:b/>
                <w:sz w:val="18"/>
              </w:rPr>
              <w:t>$117.8M</w:t>
            </w:r>
            <w:r>
              <w:rPr>
                <w:sz w:val="18"/>
              </w:rPr>
              <w:t xml:space="preserve"> [D]; holding falls to </w:t>
            </w:r>
            <w:r>
              <w:rPr>
                <w:b/>
                <w:sz w:val="18"/>
              </w:rPr>
              <w:t>454,685</w:t>
            </w:r>
            <w:r>
              <w:rPr>
                <w:sz w:val="18"/>
              </w:rPr>
              <w:t xml:space="preserve"> sh [R], ≈52% of pre-sale holding sold 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0001513845-26-000126 · https://www.sec.gov/Archives/edgar/data/1513845/000151384526000126/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 issuer share-count impact (secondary). Sentiment item for the short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NEW: Form 144</w:t>
            </w:r>
            <w:r>
              <w:rPr>
                <w:sz w:val="18"/>
              </w:rPr>
              <w:t xml:space="preserve"> (filing date 10/5)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500,000 sh, nature "Restricted Stock Units", aggregate market value $121,405,000, approx. sale date 10/5/26, broker Morgan Stanley Smith Barney [R]. States shares outstanding </w:t>
            </w:r>
            <w:r>
              <w:rPr>
                <w:b/>
                <w:sz w:val="18"/>
              </w:rPr>
              <w:t>238,400,165</w:t>
            </w:r>
            <w:r>
              <w:rPr>
                <w:sz w:val="18"/>
              </w:rPr>
              <w:t xml:space="preserve"> (= issuer's 6/30 figure; stale) 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0001950047-26-010048 · https://www.sec.gov/Archives/edgar/data/1513845/000195004726010048/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None. Matches Nave's Form 4 [D]</w:t>
            </w:r>
          </w:p>
        </w:tc>
      </w:tr>
    </w:tbl>
    <w:p/>
    <w:p>
      <w:r>
        <w:rPr>
          <w:b/>
        </w:rPr>
        <w:t>Context, not issuer disclosures:</w:t>
      </w:r>
      <w:r>
        <w:t xml:space="preserve"> Rosenblatt initiated coverage 10/7 at Buy with a $304 PT. It estimates Nebius active power at ~1/6 of CoreWeave's 1.5 GW, i.e. ~250 MW [E third-party], and notes that "the company does not disclose this figure publicly." The Information (10/7) reports a shift to auctions/dynamic pricing (CRO quoted).</w:t>
      </w:r>
    </w:p>
    <w:p>
      <w:pPr>
        <w:pStyle w:val="Heading2"/>
      </w:pPr>
      <w:r>
        <w:t>Impact summary</w:t>
      </w:r>
    </w:p>
    <w:p>
      <w:pPr>
        <w:pStyle w:val="ListBullet"/>
      </w:pPr>
      <w:r>
        <w:rPr>
          <w:b/>
        </w:rPr>
        <w:t>FD pro forma: 376,648,956 [D], unchanged</w:t>
      </w:r>
      <w:r>
        <w:t xml:space="preserve"> (no post-10/5 share-count disclosure).</w:t>
      </w:r>
    </w:p>
    <w:p>
      <w:pPr>
        <w:pStyle w:val="ListBullet"/>
      </w:pPr>
      <w:r>
        <w:rPr>
          <w:b/>
        </w:rPr>
        <w:t>Net no-vote headroom: ~77.8M (conservative) to ~96.7M [D], unchanged.</w:t>
      </w:r>
      <w:r>
        <w:t xml:space="preserve"> See </w:t>
      </w:r>
      <w:r>
        <w:rPr>
          <w:rFonts w:ascii="Consolas" w:hAnsi="Consolas"/>
        </w:rPr>
        <w:t>fd_share_bridge.md</w:t>
      </w:r>
      <w:r>
        <w:t>.</w:t>
      </w:r>
    </w:p>
    <w:p>
      <w:pPr>
        <w:pStyle w:val="ListBullet"/>
      </w:pPr>
      <w:r>
        <w:rPr>
          <w:b/>
        </w:rPr>
        <w:t>Q3 baseline Class A ≈ 254,169,553 [D]</w:t>
      </w:r>
      <w:r>
        <w:t>, before ATM and RSU deliveries.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