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Fully diluted share bridge: 6/30/26 → pro forma post-Aug-26 (as of Thu Oct 8, 2026)</w:t>
      </w:r>
    </w:p>
    <w:p>
      <w:r>
        <w:rPr>
          <w:b/>
        </w:rPr>
        <w:t>Owner:</w:t>
      </w:r>
      <w:r>
        <w:t xml:space="preserve"> Filings &amp; Capital · </w:t>
      </w:r>
      <w:r>
        <w:rPr>
          <w:b/>
        </w:rPr>
        <w:t>Public information only</w:t>
      </w:r>
      <w:r>
        <w:t xml:space="preserve"> · Workbook: </w:t>
      </w:r>
      <w:r>
        <w:rPr>
          <w:rFonts w:ascii="Consolas" w:hAnsi="Consolas"/>
        </w:rPr>
        <w:t>fd_share_bridge.xlsx</w:t>
      </w:r>
      <w:r>
        <w:t xml:space="preserve"> (live formulas; inputs in blue on </w:t>
      </w:r>
      <w:r>
        <w:rPr>
          <w:rFonts w:ascii="Consolas" w:hAnsi="Consolas"/>
        </w:rPr>
        <w:t>Inputs</w:t>
      </w:r>
      <w:r>
        <w:t xml:space="preserve">; sheets </w:t>
      </w:r>
      <w:r>
        <w:rPr>
          <w:rFonts w:ascii="Consolas" w:hAnsi="Consolas"/>
        </w:rPr>
        <w:t>FD_Bridge</w:t>
      </w:r>
      <w:r>
        <w:t xml:space="preserve">, </w:t>
      </w:r>
      <w:r>
        <w:rPr>
          <w:rFonts w:ascii="Consolas" w:hAnsi="Consolas"/>
        </w:rPr>
        <w:t>PT_Consistency</w:t>
      </w:r>
      <w:r>
        <w:t xml:space="preserve">, </w:t>
      </w:r>
      <w:r>
        <w:rPr>
          <w:rFonts w:ascii="Consolas" w:hAnsi="Consolas"/>
        </w:rPr>
        <w:t>Headroom</w:t>
      </w:r>
      <w:r>
        <w:t>)</w:t>
      </w:r>
    </w:p>
    <w:p>
      <w:r>
        <w:rPr>
          <w:b/>
        </w:rPr>
        <w:t>Tags:</w:t>
      </w:r>
      <w:r>
        <w:t xml:space="preserve"> </w:t>
      </w:r>
      <w:r>
        <w:rPr>
          <w:b/>
        </w:rPr>
        <w:t>[R]</w:t>
      </w:r>
      <w:r>
        <w:t xml:space="preserve"> Reported · </w:t>
      </w:r>
      <w:r>
        <w:rPr>
          <w:b/>
        </w:rPr>
        <w:t>[D]</w:t>
      </w:r>
      <w:r>
        <w:t xml:space="preserve"> Derived (math shown) · </w:t>
      </w:r>
      <w:r>
        <w:rPr>
          <w:b/>
        </w:rPr>
        <w:t>[E]</w:t>
      </w:r>
      <w:r>
        <w:t xml:space="preserve"> Estimated / assumption · </w:t>
      </w:r>
      <w:r>
        <w:rPr>
          <w:b/>
        </w:rPr>
        <w:t>ND</w:t>
      </w:r>
      <w:r>
        <w:t xml:space="preserve"> = not disclosed</w:t>
      </w:r>
    </w:p>
    <w:p>
      <w:r>
        <w:rPr>
          <w:b/>
        </w:rPr>
        <w:t>FD definition (team):</w:t>
      </w:r>
      <w:r>
        <w:t xml:space="preserve"> Class A outstanding + Class B + NVIDIA warrant + if-converted shares on all convertible notes. RSUs and options are excluded (memo below).</w:t>
      </w:r>
    </w:p>
    <w:p>
      <w:pPr>
        <w:pStyle w:val="Heading2"/>
      </w:pPr>
      <w:r>
        <w:t>A. Bridge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82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82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Step</w:t>
            </w:r>
          </w:p>
        </w:tc>
        <w:tc>
          <w:tcPr>
            <w:tcW w:type="dxa" w:w="282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Shares</w:t>
            </w:r>
          </w:p>
        </w:tc>
        <w:tc>
          <w:tcPr>
            <w:tcW w:type="dxa" w:w="282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Tag</w:t>
            </w:r>
          </w:p>
        </w:tc>
        <w:tc>
          <w:tcPr>
            <w:tcW w:type="dxa" w:w="282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Source / math</w:t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Class A outstanding 6/30/26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238,400,165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R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Q2 PR (6-K 8/12/26, acc 0001104659-26-094568)</w:t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Class B outstanding 6/30/26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33,455,053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R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Q2 PR</w:t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NVIDIA pre-funded warrant (unexercised, $0.0001)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21,065,936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R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Q2FS Note 14 (acc 0001104659-26-094844)</w:t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If-converted, all convert series (Q2 weighted avg, anti-dilutive)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65,416,804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R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Q2FS Note 1</w:t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FD0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FD at 6/30/26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358,337,958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Sum of rows 1–4</w:t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Less: conversion shares, $400M Jun-2029 2.00% notes exchanged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(7,774,520)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D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400,000 bonds × 19.4363 [R rate]</w:t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Less: conversion shares, $400M Jun-2031 3.00% notes exchanged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(7,774,520)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D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400,000 bonds × 19.4363 [R rate]</w:t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Plus: Aug exchange shares, 2029 notes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7,873,876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D (day count E)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400,000 × ($4,403.18 [R] + $1,000 × 2.00% × 76/360) ÷ $223.90 [R], rounded down</w:t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Plus: Aug exchange shares, 2031 notes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7,895,512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D (day count E)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400,000 × ($4,413.18 [R] + $1,000 × 3.00% × 76/360) ÷ $223.90 [R], rounded down</w:t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Plus: if-converted, new $3,450M 0.50% Feb-2030 notes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11,006,190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D (rate R)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3,450,000 bonds × 3.1902 [R] ($313.46)</w:t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Plus: if-converted, new $2,300M 4.50% Feb-2034 notes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7,084,460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D (rate R)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2,300,000 bonds × 3.0802 [R] ($324.65)</w:t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Post-10/5/26 changes disclosed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D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EDGAR + newsroom re-check 10/8: none (</w:t>
            </w:r>
            <w:r>
              <w:rPr>
                <w:rFonts w:ascii="Consolas" w:hAnsi="Consolas"/>
                <w:sz w:val="18"/>
              </w:rPr>
              <w:t>edgar_recheck_2026-10-08.md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FD1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FD pro forma after Aug-26 transactions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376,648,956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FD0 + rows 5–11</w:t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Change vs 6/30 FD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+18,310,998 (+5.11%)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D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Exchange shares (rows 7+8): 15,769,388 [D]</w:t>
      </w:r>
      <w:r>
        <w:t xml:space="preserve"> vs company "approximately 15.8 million" [R].</w:t>
      </w:r>
    </w:p>
    <w:p>
      <w:pPr>
        <w:pStyle w:val="ListBullet"/>
      </w:pPr>
      <w:r>
        <w:rPr>
          <w:b/>
        </w:rPr>
        <w:t>Formula source:</w:t>
      </w:r>
      <w:r>
        <w:t xml:space="preserve"> Form of Exchange Agreement, Ex.4.5 to 6-K 8/24/26 (acc 0001104659-26-100347). Shares = (Notes Exchange Price × amount + accrued and unpaid interest from 6/5/26 to settlement) ÷ Share Price. Share Price = last reported sale price on the pricing date = $223.90 on 8/19/26 [R, 6-K 8/20/26]. Rounded down once per series [R].</w:t>
      </w:r>
    </w:p>
    <w:p>
      <w:pPr>
        <w:pStyle w:val="ListBullet"/>
      </w:pPr>
      <w:r>
        <w:rPr>
          <w:b/>
        </w:rPr>
        <w:t>Assumption flagged [E]:</w:t>
      </w:r>
      <w:r>
        <w:t xml:space="preserve"> 30/360 day count and T+2 settlement 8/21 (76 days). With 8/24 settlement (79 days), the count rises by </w:t>
      </w:r>
      <w:r>
        <w:rPr>
          <w:b/>
        </w:rPr>
        <w:t>744 shares</w:t>
      </w:r>
      <w:r>
        <w:t>, which is immaterial.</w:t>
      </w:r>
    </w:p>
    <w:p>
      <w:pPr>
        <w:pStyle w:val="ListBullet"/>
      </w:pPr>
      <w:r>
        <w:rPr>
          <w:b/>
        </w:rPr>
        <w:t>Inducement vs straight conversion:</w:t>
      </w:r>
      <w:r>
        <w:t xml:space="preserve"> rows 5–8 net to </w:t>
      </w:r>
      <w:r>
        <w:rPr>
          <w:b/>
        </w:rPr>
        <w:t>+220,348</w:t>
      </w:r>
      <w:r>
        <w:t xml:space="preserve"> shares [D].</w:t>
      </w:r>
    </w:p>
    <w:p>
      <w:pPr>
        <w:pStyle w:val="ListBullet"/>
      </w:pPr>
      <w:r>
        <w:rPr>
          <w:b/>
        </w:rPr>
        <w:t>Reported-only alternative:</w:t>
      </w:r>
      <w:r>
        <w:t xml:space="preserve"> using the company's ~15.8M instead of the derived count gives FD ≈ </w:t>
      </w:r>
      <w:r>
        <w:rPr>
          <w:b/>
        </w:rPr>
        <w:t>376,679,568</w:t>
      </w:r>
      <w:r>
        <w:t xml:space="preserve"> [R/D].</w:t>
      </w:r>
    </w:p>
    <w:p>
      <w:r>
        <w:rPr>
          <w:b/>
        </w:rPr>
        <w:t>Memo (excluded from FD; footnote):</w:t>
      </w:r>
    </w:p>
    <w:p>
      <w:pPr>
        <w:pStyle w:val="ListBullet"/>
      </w:pPr>
      <w:r>
        <w:rPr>
          <w:b/>
        </w:rPr>
        <w:t>Unvested RSUs 6,234,091</w:t>
      </w:r>
      <w:r>
        <w:t xml:space="preserve"> [R] and </w:t>
      </w:r>
      <w:r>
        <w:rPr>
          <w:b/>
        </w:rPr>
        <w:t>options 6,740,600</w:t>
      </w:r>
      <w:r>
        <w:t xml:space="preserve"> [R] (WAEP $88.65) at 6/30 (Q2FS Note 13). The team FD excludes both. A gross upper bound including both (no treasury-stock method) would be </w:t>
      </w:r>
      <w:r>
        <w:rPr>
          <w:b/>
        </w:rPr>
        <w:t>389,623,647</w:t>
      </w:r>
      <w:r>
        <w:t xml:space="preserve"> [D].</w:t>
      </w:r>
    </w:p>
    <w:p>
      <w:pPr>
        <w:pStyle w:val="ListBullet"/>
      </w:pPr>
      <w:r>
        <w:rPr>
          <w:b/>
        </w:rPr>
        <w:t>Point-in-time cross-check of row 4:</w:t>
      </w:r>
      <w:r>
        <w:t xml:space="preserve"> 6/30 principal × rates ≈ 65,570,979 [D], vs the 65,416,804 weighted average [R] (~0.2% higher).</w:t>
      </w:r>
    </w:p>
    <w:p>
      <w:pPr>
        <w:pStyle w:val="ListBullet"/>
      </w:pPr>
      <w:r>
        <w:rPr>
          <w:b/>
        </w:rPr>
        <w:t>Q3 baseline Class A</w:t>
      </w:r>
      <w:r>
        <w:t xml:space="preserve"> ≈ 238,400,165 + 15,769,388 = </w:t>
      </w:r>
      <w:r>
        <w:rPr>
          <w:b/>
        </w:rPr>
        <w:t>254,169,553</w:t>
      </w:r>
      <w:r>
        <w:t xml:space="preserve"> [D], before ATM and RSU deliveries.</w:t>
      </w:r>
    </w:p>
    <w:p>
      <w:pPr>
        <w:pStyle w:val="Heading2"/>
      </w:pPr>
      <w:r>
        <w:t>B. PT bridge consistency (shares ↔ net debt)</w:t>
      </w:r>
    </w:p>
    <w:p>
      <w:r>
        <w:rPr>
          <w:b/>
        </w:rPr>
        <w:t>Rule:</w:t>
      </w:r>
      <w:r>
        <w:t xml:space="preserve"> if a note series is counted as if-converted shares, remove that series from debt. If a series is kept as debt, drop its shares. Team default = all series if-converted (FD 376.6M).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$M</w:t>
            </w:r>
          </w:p>
        </w:tc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Tag</w:t>
            </w:r>
          </w:p>
        </w:tc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Treatment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Convertible notes carrying, 6/30 (all old series)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8,499.0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R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Remove from net debt (old series are in the 65.4M)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of which exchanged $800M (pro-rata carrying: 400/487.5 × (504.1 + 498.4))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822.6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D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Already gone post-Aug</w:t>
            </w:r>
            <w:r>
              <w:rPr>
                <w:sz w:val="18"/>
              </w:rPr>
              <w:t xml:space="preserve"> (retired for shares, no cash). Don't remove it twice when rolling the balance sheet forward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Old converts remaining carrying post-exchange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7,676.4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D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Remove (if-converted)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New notes face to remove from debt</w:t>
            </w:r>
            <w:r>
              <w:rPr>
                <w:sz w:val="18"/>
              </w:rPr>
              <w:t xml:space="preserve"> ($3,450M + $2,300M)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5,750.0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R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Q3 carrying value ND. Accreted at maturity = 3,450 × 1.10 + 2,300 × 1.25 = </w:t>
            </w:r>
            <w:r>
              <w:rPr>
                <w:b/>
                <w:sz w:val="18"/>
              </w:rPr>
              <w:t>6,670.0</w:t>
            </w:r>
            <w:r>
              <w:rPr>
                <w:sz w:val="18"/>
              </w:rPr>
              <w:t xml:space="preserve"> [D] (claim if not converted)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Cash to KEEP: new-note net proceeds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~5,680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R (company estimate)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"approximately $5.68 billion if the initial purchasers fully exercise" [R, 6-K 8/20]; fully exercised [R, 6-K 8/24]. Exact net ND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Exchange cash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R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Notes-for-shares; accrued interest settled in shares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Capped calls / hedges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R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None</w:t>
            </w:r>
            <w:r>
              <w:rPr>
                <w:sz w:val="18"/>
              </w:rPr>
              <w:t xml:space="preserve"> on any series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Keep as debt: $775M secured facility (drawn ND)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775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R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Full draw is an assumption [E]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Keep as debt: current debt 6/30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46.7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R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Pro forma cash (8,042.1 + ~5,680)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~13,722.1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D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Excl. restricted 1,056.0 and Q3 OCF/capex</w:t>
            </w:r>
          </w:p>
        </w:tc>
      </w:tr>
    </w:tbl>
    <w:p/>
    <w:p>
      <w:r>
        <w:rPr>
          <w:b/>
        </w:rPr>
        <w:t>Moneyness at $237.15</w:t>
      </w:r>
      <w:r>
        <w:t xml:space="preserve"> (10/7 close [R, third-party quote]): Jun-29/31 ($51.45), Sep-30/32 ($138.75), Mar-31 ($183.22) and Mar-33 ($180.31) are in the money. The </w:t>
      </w:r>
      <w:r>
        <w:rPr>
          <w:b/>
        </w:rPr>
        <w:t>new Feb-2030 ($313.46) and Feb-2034 ($324.65) are out of the money</w:t>
      </w:r>
      <w:r>
        <w:t xml:space="preserve"> [D].</w:t>
      </w:r>
    </w:p>
    <w:p>
      <w:pPr>
        <w:pStyle w:val="ListBullet"/>
      </w:pPr>
      <w:r>
        <w:rPr>
          <w:b/>
        </w:rPr>
        <w:t>Alternative convention:</w:t>
      </w:r>
      <w:r>
        <w:t xml:space="preserve"> treat the new notes as debt, so FD = </w:t>
      </w:r>
      <w:r>
        <w:rPr>
          <w:b/>
        </w:rPr>
        <w:t>358,558,306</w:t>
      </w:r>
      <w:r>
        <w:t xml:space="preserve"> [D] and debt carries the $5.75B face (accreting to $6.67B).</w:t>
      </w:r>
    </w:p>
    <w:p>
      <w:pPr>
        <w:pStyle w:val="ListBullet"/>
      </w:pPr>
      <w:r>
        <w:t>Whichever convention the model uses, it must use it on both the share and the debt side.</w:t>
      </w:r>
    </w:p>
    <w:p>
      <w:pPr>
        <w:pStyle w:val="Heading2"/>
      </w:pPr>
      <w:r>
        <w:t>C. Net no-vote headroom (restated)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(i) Exchange shares from treasury</w:t>
            </w:r>
          </w:p>
        </w:tc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(ii) Exchange shares newly issued</w:t>
            </w:r>
          </w:p>
        </w:tc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Tag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Class A issued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288,585,891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304,355,279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R / D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Treasury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34,416,338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50,185,726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D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AGM 20% pool = 20% × (Class A issued + Class B 33,455,053)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64,408,189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67,562,066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D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Gross headroom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98,824,527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117,747,792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D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Less: unexercised NVIDIA warrant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(21,065,936)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(21,065,936)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R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Net no-vote headroom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77,758,591 (~78M)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96,681,856 (~97M)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D</w:t>
            </w:r>
          </w:p>
        </w:tc>
      </w:tr>
    </w:tbl>
    <w:p/>
    <w:p>
      <w:r>
        <w:rPr>
          <w:b/>
        </w:rPr>
        <w:t>Reasoning:</w:t>
      </w:r>
    </w:p>
    <w:p>
      <w:pPr>
        <w:pStyle w:val="ListBullet"/>
      </w:pPr>
      <w:r>
        <w:t xml:space="preserve">The exchange settled </w:t>
      </w:r>
      <w:r>
        <w:rPr>
          <w:b/>
        </w:rPr>
        <w:t>8/24/26, one day before the 8/25 AGM authority</w:t>
      </w:r>
      <w:r>
        <w:t xml:space="preserve"> [R]. Whether those shares came from treasury or new issuance is </w:t>
      </w:r>
      <w:r>
        <w:rPr>
          <w:b/>
        </w:rPr>
        <w:t>ND</w:t>
      </w:r>
      <w:r>
        <w:t>.</w:t>
      </w:r>
    </w:p>
    <w:p>
      <w:pPr>
        <w:pStyle w:val="ListBullet"/>
      </w:pPr>
      <w:r>
        <w:t xml:space="preserve">Q2 ATM shares were delivered </w:t>
      </w:r>
      <w:r>
        <w:rPr>
          <w:b/>
        </w:rPr>
        <w:t>from treasury</w:t>
      </w:r>
      <w:r>
        <w:t xml:space="preserve"> [R, Q2FS Note 14]. That precedent makes case (i), </w:t>
      </w:r>
      <w:r>
        <w:rPr>
          <w:b/>
        </w:rPr>
        <w:t>~78M</w:t>
      </w:r>
      <w:r>
        <w:t>, the conservative planning figure.</w:t>
      </w:r>
    </w:p>
    <w:p>
      <w:pPr>
        <w:pStyle w:val="ListBullet"/>
      </w:pPr>
      <w:r>
        <w:t xml:space="preserve">Case (ii), </w:t>
      </w:r>
      <w:r>
        <w:rPr>
          <w:b/>
        </w:rPr>
        <w:t>~97M</w:t>
      </w:r>
      <w:r>
        <w:t>, applies only if the shares were newly issued under the prior authority, which raises issued capital and therefore the 20% pool.</w:t>
      </w:r>
    </w:p>
    <w:p>
      <w:pPr>
        <w:pStyle w:val="ListBullet"/>
      </w:pPr>
      <w:r>
        <w:t>Both cases fall share-for-share with any Q3 ATM sales (ND) and RSU/option deliveries from treasury (ND, small).</w:t>
      </w:r>
    </w:p>
    <w:p>
      <w:pPr>
        <w:pStyle w:val="ListBullet"/>
      </w:pPr>
      <w:r>
        <w:t>Compared with the team's 6/30 snapshot of 93.5M, the conservative case is ~15.8M lower.</w:t>
      </w:r>
    </w:p>
    <w:p>
      <w:pPr>
        <w:pStyle w:val="ListBullet"/>
      </w:pPr>
      <w:r>
        <w:rPr>
          <w:b/>
        </w:rPr>
        <w:t>The Q3 interim treasury count will resolve this.</w:t>
      </w:r>
    </w:p>
    <w:p>
      <w:pPr>
        <w:pStyle w:val="Heading2"/>
      </w:pPr>
      <w:r>
        <w:t>D. Change vs 376.6M</w:t>
      </w:r>
    </w:p>
    <w:p>
      <w:r>
        <w:rPr>
          <w:b/>
        </w:rPr>
        <w:t>No change.</w:t>
      </w:r>
      <w:r>
        <w:t xml:space="preserve"> The 10/8 re-check found no issuer share-count disclosures since 10/5. The GS 13G/A (9/30, 5.1%) implies a 252.6M–257.6M denominator [D]. That is consistent with the ~254.2M pro forma Class A but is third-party data, not an issuer figure.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