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Q3 2026 watch-list: disclosures that CONFIRM or BREAK the NBIS short</w:t>
      </w:r>
    </w:p>
    <w:p>
      <w:r>
        <w:rPr>
          <w:b/>
        </w:rPr>
        <w:t>As of:</w:t>
      </w:r>
      <w:r>
        <w:t xml:space="preserve"> Thu Oct 8, 2026 (ET), re-keyed to model v0.9e · </w:t>
      </w:r>
      <w:r>
        <w:rPr>
          <w:b/>
        </w:rPr>
        <w:t>Owner:</w:t>
      </w:r>
      <w:r>
        <w:t xml:space="preserve"> Filings &amp; Capital · </w:t>
      </w:r>
      <w:r>
        <w:rPr>
          <w:b/>
        </w:rPr>
        <w:t>Public information only</w:t>
      </w:r>
    </w:p>
    <w:p>
      <w:r>
        <w:rPr>
          <w:b/>
        </w:rPr>
        <w:t>Tags:</w:t>
      </w:r>
      <w:r>
        <w:t xml:space="preserve"> </w:t>
      </w:r>
      <w:r>
        <w:rPr>
          <w:b/>
        </w:rPr>
        <w:t>[R]</w:t>
      </w:r>
      <w:r>
        <w:t xml:space="preserve"> Reported · </w:t>
      </w:r>
      <w:r>
        <w:rPr>
          <w:b/>
        </w:rPr>
        <w:t>[D]</w:t>
      </w:r>
      <w:r>
        <w:t xml:space="preserve"> Derived · </w:t>
      </w:r>
      <w:r>
        <w:rPr>
          <w:b/>
        </w:rPr>
        <w:t>[E]</w:t>
      </w:r>
      <w:r>
        <w:t xml:space="preserve"> Estimated / team judgement · </w:t>
      </w:r>
      <w:r>
        <w:rPr>
          <w:b/>
        </w:rPr>
        <w:t>ND</w:t>
      </w:r>
      <w:r>
        <w:t xml:space="preserve"> = not disclosed. </w:t>
      </w:r>
      <w:r>
        <w:rPr>
          <w:b/>
        </w:rPr>
        <w:t>Every threshold is a team judgement [E]</w:t>
      </w:r>
      <w:r>
        <w:t xml:space="preserve"> unless marked [D]. Team locks (v0.9e, 10/8): billed MW 257.7/284.2 YE26 and 531.8/659.2 FY27 avg; non-Microsoft hurdle ~$27.6M/MW; judge line 1 $24.51M/$20.19M per MW to clear spot $237.15; fork breaks on any ≥$20M/MW non-short-term deal with MW disclosed; comps band $9.7–16.7M/MW as reported; base FD 358,558,306 (new notes as debt below $313.46); MSFT 4 of 9 on gensets. Used as given.</w:t>
      </w:r>
    </w:p>
    <w:p>
      <w:r>
        <w:rPr>
          <w:b/>
        </w:rPr>
        <w:t>Q3 results date:</w:t>
      </w:r>
      <w:r>
        <w:t xml:space="preserve"> not company-announced as of 10/8/26 (newsroom, financials and EDGAR re-checked). Locked wording: late Oct–mid Nov (Oct 22 or Nov 10 per third-party calendars; not company-announced) [E]. Watch for the "announces date of third quarter 2026 results" PR (for Q2 it came ~3–4 weeks ahead).</w:t>
      </w:r>
    </w:p>
    <w:p>
      <w:r>
        <w:rPr>
          <w:b/>
        </w:rPr>
        <w:t>Where Q3 disclosures will land</w:t>
      </w:r>
      <w:r>
        <w:t xml:space="preserve"> (based on the Q2 pattern): 6-K with Ex.99.1 PR (financials, outstanding shares) + Ex.99.2 shareholder letter (ARR, deal economics, capacity, funding), and a separate 6-K with interim FS (RPO, deferred-revenue release, share capital/ATM, warrant, debt notes, concentration). Plus the earnings call (capex guide is call-only).</w:t>
      </w:r>
    </w:p>
    <w:p>
      <w:pPr>
        <w:pStyle w:val="Heading2"/>
      </w:pPr>
      <w:r>
        <w:t>Watch-list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4"/>
        <w:gridCol w:w="1764"/>
        <w:gridCol w:w="1764"/>
        <w:gridCol w:w="1764"/>
        <w:gridCol w:w="1764"/>
        <w:gridCol w:w="1764"/>
        <w:gridCol w:w="1764"/>
        <w:gridCol w:w="1764"/>
      </w:tblGrid>
      <w:tr>
        <w:tc>
          <w:tcPr>
            <w:tcW w:type="dxa" w:w="17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17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Metric</w:t>
            </w:r>
          </w:p>
        </w:tc>
        <w:tc>
          <w:tcPr>
            <w:tcW w:type="dxa" w:w="17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Where it appears</w:t>
            </w:r>
          </w:p>
        </w:tc>
        <w:tc>
          <w:tcPr>
            <w:tcW w:type="dxa" w:w="17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Current value</w:t>
            </w:r>
          </w:p>
        </w:tc>
        <w:tc>
          <w:tcPr>
            <w:tcW w:type="dxa" w:w="17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Source (current value)</w:t>
            </w:r>
          </w:p>
        </w:tc>
        <w:tc>
          <w:tcPr>
            <w:tcW w:type="dxa" w:w="17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Confirm-SHORT threshold</w:t>
            </w:r>
          </w:p>
        </w:tc>
        <w:tc>
          <w:tcPr>
            <w:tcW w:type="dxa" w:w="17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Break-SHORT threshold</w:t>
            </w:r>
          </w:p>
        </w:tc>
        <w:tc>
          <w:tcPr>
            <w:tcW w:type="dxa" w:w="17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Notes / tag</w:t>
            </w:r>
          </w:p>
        </w:tc>
      </w:tr>
      <w:tr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Q3'26 results date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Company 'announces date of Q3 results' PR / 6-K; nebius.com/financials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Not company-announced as of 10/8/26. Locked wording: late Oct–mid Nov (Oct 22 or Nov 10 per third-party calendars; not company-announced) [E]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nebius.com/newsroom + /financials and EDGAR re-checked 10/8/26; earnings.fru.dev and other vendor calendars (estimates)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n/a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n/a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Capacity's vineland_watch.md now tags Nov 10 as [E] (corrected 10/5). Treat any date as [E] until the date PR.</w:t>
            </w:r>
          </w:p>
        </w:tc>
      </w:tr>
      <w:tr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Billing / active MW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Q3 letter capacity section; call; Q3 PR highlights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Active ~170 MW at YE25 [R]; Q1/Q2'26 active MW ND. Team lock (v0.9e engine-linked, 10/8): YE26 billed 257.7 base / 284.2 high; FY27 avg billed 531.8 base / 659.2 high [D] (Vineland on tranche basis, 182.3 MW-yr from the Contracts engine). Superseded: 536.5/663.8, 475/645.4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6-K 2/12/26 Q4'25 letter; capacity/final_billed_vs_connected.xlsx (locked 10/8); model/nebius_model.xlsx v0.9e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PRIMARY TEST: Microsoft tranches on permanent power still ≤4 of 9 [E]. Secondary MW test, billed or revenue-generating MW only: 9/30 billed MW plus Q4 plan pointing to YE26 billed ≤257.7 MW [E]. If the letter gives only active or connected MW (connected runs ~3× billed: 941 vs 257.7 [D]), or no MW at all, the MW test is n/a. FY27 bar only if a 2027 MW guide is given: avg billed ≤531.8 [D]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PRIMARY TEST: ≥5 of 9 Microsoft tranches on permanent power breaks the short [E]. Secondary MW test, billed or revenue-generating MW only: 9/30 billed MW plus Q4 plan consistent with YE26 billed ≥284.2 MW [E]; an active or connected figure above the path does NOT count (n/a). FY27 bar only if guided: ≥659.2 avg billed; a guide implying ≥768.75 MW breaks the MW side outright [D]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Thresholds are the v0.9e locks. Street FY27 $12.3B at $16M/MW needs 768.75 MW = 1.45× base / 1.17× high [D]. Implied $/MW at YE26 guide: $7B/257.7 = $27.2M; $9B/284.2 = $31.7M [D]</w:t>
            </w:r>
          </w:p>
        </w:tc>
      </w:tr>
      <w:tr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Connected power YE26 target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Q3 letter capacity slide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800 MW–1 GW connected by YE26 [R]; contracted power target 5 GW [R]; &gt;1 GW/yr deployment from 2027 [R]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6-K 5/13/26 Q1 letter p.6; Q2'26 letter (6-K 8/12/26 Ex.99.2) https://www.sec.gov/Archives/edgar/data/1513845/000110465926094568/tm2622968d1_ex99-2.htm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Target range cut or reworded, or connected actual still undisclosed [E]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Connected actual disclosed and on track for ≥800 MW at YE26 [E]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Contracted ≠ connected ≠ billing; watch the definitions</w:t>
            </w:r>
          </w:p>
        </w:tc>
      </w:tr>
      <w:tr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YE26 ARR guide ($7–9B) + Sept ARR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Q3 PR/letter (ARR = Sept AI cloud revenue ×12); CFO remarks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ARR $3.0B end-June [R]; YE26 ARR guide $7–9B reaffirmed 8/12 [R call]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Q2'26 letter (6-K 8/12/26 Ex.99.2) https://www.sec.gov/Archives/edgar/data/1513845/000110465926094568/tm2622968d1_ex99-2.htm; Q2'26 call 8/12/26 https://stockanalysis.com/stocks/nbis/transcripts/655490-q2-2026/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Sept ARR &lt; $4.6B [E] (below the constant-growth path from $3.0B to the $7B low end: 3.0×(7/3)^0.5 = $4.58B [D]) AND/OR guide cut or reframed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Sept ARR ≥ $5.5B [E] (linear path to the $8B midpoint: 3.0 + (8−3)/2 [D]) with guide reaffirmed or raised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Team judgment [E] thresholds grounded in the guide math</w:t>
            </w:r>
          </w:p>
        </w:tc>
      </w:tr>
      <w:tr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FY26 revenue guide ($3.0–3.4B) / Q3 revenue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Q3 PR income statement; letter guidance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1H26 revenue $981.3M [R] → 2H needs $2,018.7–2,418.7M [D]. June run-rate × 3 = ~$750M/qtr [D]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Q2'26 PR (6-K 8/12/26 Ex.99.1) https://www.sec.gov/Archives/edgar/data/1513845/000110465926094568/tm2622968d1_ex99-1.htm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Q3 revenue ≤ $850M [E] (Q4 would then need ≥ $1.17B for the low end)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Q3 revenue ≥ $1.0B [E]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Team judgment [E]</w:t>
            </w:r>
          </w:p>
        </w:tc>
      </w:tr>
      <w:tr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GAAP RPO adds vs $37.5B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Q3 interim FS revenue note (RPO paragraph); possibly letter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RPO $37,490.6M at 6/30 [R]; 36% ≤24m / 40% 25–48m. Q1 net add +12,252.3 (Meta); Q2 net add +3,905.3 [D]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Q2'26 interim FS (6-K 8/12/26) https://www.sec.gov/Archives/edgar/data/1513845/000110465926094844/nbis-20260812xex99d2.htm Note 1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9/30 RPO ≤ $39.5B (net add ≤ ~$2.0B, about half Q2's pace, despite 'could sell all 2027 capacity') OR 0–24m share ≤36% [E]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9/30 RPO ≥ $42.5B (net add ≥ $5.0B) with MW/customer disclosed, OR GAAP RPO itself ≥ $40B on firm contracts [E]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Short-term (≤1 yr) deals are excluded from RPO by policy [R]. Don't count the $40–50M/MW short-term deals as RPO adds</w:t>
            </w:r>
          </w:p>
        </w:tc>
      </w:tr>
      <w:tr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'&gt;$40B' commitments language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Q3 letter / call / any ABS PR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&gt;$40B 'additional contracted revenue from investment-grade customers' [R PR 7/17]; firm IG TCV ~$32.3B [D]; max incl. 'up to' ~$49.3B [D]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backlog_rpo_reconciliation.md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&gt;$40B repeated while GAAP RPO &lt; $40B, or wording widens (e.g. adds 'potential') [E]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Company discloses firm vs contingent split with firm ≥ $40B, OR GAAP RPO ≥ $40B [E]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Lets the slide say: 'management's $40B &gt; GAAP $37.5B &gt; firm IG $32.3B'</w:t>
            </w:r>
          </w:p>
        </w:tc>
      </w:tr>
      <w:tr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Microsoft Vineland tranche status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Q3 letter (customers/capacity); call Q&amp;A; 6-K if a tranche is terminated or amended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Letter: 'all capacity tranches' delivered to date [R]; call: 'remaining tranches' + Bloom [R]. Team lock: 4 of 9 live on gensets; T5–T9 wait on Bloom. Planning Board approved amended Bloom/LNG plan 8/17/26 (8–1) [R news]; city stop-construction orders 8/6 and 8/10 [R news]; NJDEP order 9/22/26, $1.072M penalty, genset permit filings due ~Nov 6 [R per Capacity]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Q2'26 letter (6-K 8/12/26 Ex.99.2) https://www.sec.gov/Archives/edgar/data/1513845/000110465926094568/tm2622968d1_ex99-2.htm; Q2'26 call 8/12/26 https://stockanalysis.com/stocks/nbis/transcripts/655490-q2-2026/; WHYY 8/14/26; Hunterbrook 8/13/26; capacity/vineland_watch.md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Q3 letter silent on tranche count or Bloom energization; any SLA credits, genset curtailment after ~Nov 6, tranche termination or MSFT TCV/RPO reduction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Explicit disclosure that ≥5 of 9 tranches are billing on permanent (Bloom/grid) power, with no SLA credits [E]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Slide: '4 of 9 Microsoft tranches live on gensets; T5–T9 wait on Bloom.' Equal-split MW is [E] (26.7 IT MW/tranche)</w:t>
            </w:r>
          </w:p>
        </w:tc>
      </w:tr>
      <w:tr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9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Deferred revenue release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Q3 interim FS deferred-revenue note (9M 'recognized from opening balance'); balance sheet current/non-current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Deferred $5,975.2M (current $979.4M / NC $4,995.8M = 16.4% current) [R/D]; Q2 recognized from opening $130.8M = 2.7% of $4,778.1M [R/D]; 1H $154.3M [R]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Q2'26 interim FS (6-K 8/12/26) https://www.sec.gov/Archives/edgar/data/1513845/000110465926094844/nbis-20260812xex99d2.htm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Q3 recognized from opening (9M − $154.3M) ≤ $250M (≤ ~4.2% of $5,975.2M) AND current share ≤ 16.4% [E]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Q3 recognized from opening ≥ $400M (≥ ~6.7%) and current share ≥ 20% [E]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Supports the 'long-dated prepay' finding. Prepay credit schedule still ND</w:t>
            </w:r>
          </w:p>
        </w:tc>
      </w:tr>
      <w:tr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Customer prepayments (&gt;$9B in 2026)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Q3 letter funding section; cash-flow statement deferred revenue change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&gt;$9B expected in 2026 [R]; derived 1H26 deferred adds = 3,224.1 + 1,327.9 = $4,552.0M [D] → ~$4.45B still needed in 2H ≈ $2.22B/qtr [D]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Q2'26 letter (6-K 8/12/26 Ex.99.2) https://www.sec.gov/Archives/edgar/data/1513845/000110465926094568/tm2622968d1_ex99-2.htm; deferred_rpo_rollforward.xlsx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Q3 derived deferred adds &lt; $1.5B [E] or the &gt;$9B guide softened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Q3 derived adds ≥ $2.2B [D threshold] with &gt;$9B reaffirmed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Adds = net derived (close − open + recognized), not the cash prepay line</w:t>
            </w:r>
          </w:p>
        </w:tc>
      </w:tr>
      <w:tr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11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New signed contracts: MW and $/MW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Q3 letter customer section; deal PRs/6-Ks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Q2: 4 deals, avg TCV &gt;$1B, ACV $20–25M/MW, no MW disclosed [R]; Q3 short-term deals &gt;$40M/MW ($40–50M range), one signed [R]; 2026 base ~$12M/MW [R]. Comps band $9.7–16.7M/MW as reported (top: Lambda–Anthropic ~$16.7M, 6-yr, Medium, basis unstated; Nscale–Anthropic $16.2M†); Bitdeer A201 ceiling ≤$22.4M [D]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Q2'26 letter (6-K 8/12/26 Ex.99.2) https://www.sec.gov/Archives/edgar/data/1513845/000110465926094568/tm2622968d1_ex99-2.htm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New deals without MW, OR disclosed mid-term ACV ≤ $16.7M/MW (top of comps band $9.7–16.7M/MW as reported) [E]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Break test (MW disclosed, non-short-term deals, covering a material share of uncontracted MW, sized ≥100 MW or ≥$2B TCV [E]): (a) if row 2 tracks HIGH (9/30 billed MW plus Q4 plan consistent with YE26 billed ≥284.2), ACV ≥$22.7M/MW breaks (high-path solve $22.68M GB300 / $22.96M Rubin) [D]; (b) otherwise ACV ≥$24.51M/MW breaks (base solve) [D]. A single 15–20 MW print at these prices does not break the short by itself, because the solves assume all uncontracted MW reprices. Early flag, not a break: any non-short-term deal ≥$20M/MW with MW disclosed, flagged same day [E]. The non-MSFT book must average ~$27.6M/MW to reach the Street [D]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Short-term $40M+/MW deals are ≤1 yr and small, and outside RPO by policy; don't let them stand in for mid-term pricing. To hit the Street, most non-MSFT MW would need to stay on 3–6 month paper (re-pricing/utilization bet) High path: spot needs $22.68M GB300 / $22.96M Rubin (full-model solve, 10/8) [D]; Bitdeer's ≤$22.4M ceiling (~15 MW, no named customer; MW basis unstated, ~$25M per IT MW if gross [D, team 10/8]) falls $0.28M short on an IT basis, PT $227.72 high / $177.68 base vs $237.15 [D]. Thresholds unchanged.</w:t>
            </w:r>
          </w:p>
        </w:tc>
      </w:tr>
      <w:tr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12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Payback / prepay coverage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Q3 letter deal-economics section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Payback 1 yr 10 mo for Q2 deals (revenue-recognition basis, excl. prepay; includes capacity not yet built) [R]; prepays cover 50–60% of capex; 70% of deals [R]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Q2'26 letter (6-K 8/12/26 Ex.99.2) https://www.sec.gov/Archives/edgar/data/1513845/000110465926094568/tm2622968d1_ex99-2.htm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Coverage &lt; 50% or payback &gt; 2 yrs, or metric dropped [E]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Coverage ≥ 60% and payback ≤ 1 yr 10 mo, with MW disclosed [E]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Methodology is forecast-based (footnote 3)</w:t>
            </w:r>
          </w:p>
        </w:tc>
      </w:tr>
      <w:tr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13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FY26 capex guide ($20–25B)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Q3 call (CFO); letter capital section; cash-flow statement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FY26 capex $20–25B [R call]; 1H26 purchases of PP&amp;E/intangibles $8,130.3M [R] → 2H implied $11.9–16.9B ≈ $5.9–8.4B/qtr [D]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Q2'26 PR (6-K 8/12/26 Ex.99.1) https://www.sec.gov/Archives/edgar/data/1513845/000110465926094568/tm2622968d1_ex99-1.htm; Q2'26 call 8/12/26 https://stockanalysis.com/stocks/nbis/transcripts/655490-q2-2026/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Guide raised above $25B without an ARR raise (funding gap widens), OR Q3 capex &lt; $5.0B with an MW/ARR miss (capacity slip) [E]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Q3 capex ≥ $5.9B (on guide pace) with ARR guide reaffirmed and funded without new equity [E]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Both directions can confirm the short (funding vs slip)</w:t>
            </w:r>
          </w:p>
        </w:tc>
      </w:tr>
      <w:tr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14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ATM / equity usage + Class A count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Q3 interim FS share-capital note (ATM sales, remaining); PR outstanding shares; any 424B5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ATM remaining 12,270,507 at 6/30 [R]; ~zero sales 7/1–7/28 (record-date count +2,378) [D]; no new 424B5 since 11/12/25 [R]. Pro forma Class A ≈ 254,169,553 (238,400,165 + ~15,769,388 exchange) [D]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Q2'26 interim FS (6-K 8/12/26) https://www.sec.gov/Archives/edgar/data/1513845/000110465926094844/nbis-20260812xex99d2.htm Note 14; post630_capital_update.md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Class A at 9/30 &gt; ~255M (≥ ~0.8M above the pro forma, net of small RSU/option deliveries), OR ATM remaining &lt; 12.27M, OR a new ATM/424B5 [E]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Class A ≈ 254.2M, ATM remaining unchanged at 12,270,507, no new program [E]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Any Q3 ATM was sold in a $220–270 tape (Aug pricing ref $223.90 [R])</w:t>
            </w:r>
          </w:p>
        </w:tc>
      </w:tr>
      <w:tr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15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Fully diluted shares / no-vote headroom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Q3 interim FS (treasury, issued, if-converted EPS note)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Base FD 358,558,306 [D] (6/30 FD 358,337,958 less exchanged Jun-29/31 conversion shares plus exchange shares; new Feb-30/Feb-34 notes as DEBT, the treatment for every PT below $313.46). Tiers: 369,564,496 for PTs $313.46–$324.65; 376,648,956 above $324.65 [D]. Net no-vote headroom ~78–97M (settlement source ND) [D]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fd_share_bridge.xlsx / .md (10/8); post630_capital_update.md; model v0.9e Drivers tab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Treasury ≤ ~34.4M at 9/30 (exchange shares came from treasury → ~78M net headroom) [E]. The ATM tell is the basic Class A count (row 14, &gt;~255M), not FD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Treasury ≈ 50.2M (exchange shares newly issued → ~97M headroom) [E]. FD 358,558,306 is the PT basis only; Q3 reports basic shares, not this figure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Funding gap: case (a) needs ~215M shares of authority = ~2.8× the ~77.8M net no-vote headroom (team lock 10/9) [D, v0.9e]. Older-note strikes $51.45 / $138.75 / $180.31 / $183.22; new $313.46 / $324.65 [R rates, D prices]. Point-in-time if-converted on the all-converted basis ≈ 68.0M; Q3 weighted-average EPS figure should be lower (~66.5M) [E]</w:t>
            </w:r>
          </w:p>
        </w:tc>
      </w:tr>
      <w:tr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16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Convert / debt raises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6-Ks (pricing/closing PRs); Q3 interim debt note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Aug-26: $5.75B converts (0.50% 2030 / 4.50% 2034) [R]; pro forma original principal ≈ $13,425M [D]; 6/30 carrying converts $8,499.0M [R]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6-K 8/20 and 8/24/26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Another convert, HY or corporate debt raise before YE26, or ABS priced wider than SOFR+250 [E]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≥ $2B of new ABS at ≤ SOFR+250 on contracted cash flows with no new equity/convert (validates 'borrowable backlog') [E]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No second ABS announced through 10/5 [R: EDGAR + newsroom]</w:t>
            </w:r>
          </w:p>
        </w:tc>
      </w:tr>
      <w:tr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17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$775M facility draw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Q3 interim debt note / balance-sheet debt line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Signed 7/10/26, SOFR+2.50%, matures 10/31/30, DSCR 1.15x + min. liquidity [R]; drawn amount ND; 6/30 debt: current $46.7M + converts $8,499.0M [R]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6-K/A 7/17/26 https://www.sec.gov/Archives/edgar/data/1513845/000110465926084606/tm2620779d1_6ka.htm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Drawn &lt; $775M with no explanation, or any covenant/DSCR waiver or amendment [E]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Fully drawn plus additional facilities on similar terms [E]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Informational. Capture the exact balance for CapStructure</w:t>
            </w:r>
          </w:p>
        </w:tc>
      </w:tr>
      <w:tr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18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NVIDIA warrant (21,065,936 sh)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Q3 interim FS Note (warrant/share capital); NVIDIA 13G/A; NVIDIA Q3 13F (due ~Nov 14)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Unexercised at 6/30 [R]; 13G 7/20/26: 22,256,412 sh (9.3%), exercise/sale barred before 9/11/26 [R]; exercise subject to HSR [R]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Q2'26 interim FS (6-K 8/12/26) https://www.sec.gov/Archives/edgar/data/1513845/000110465926094844/nbis-20260812xex99d2.htm Note 14; NVIDIA 13G https://www.sec.gov/Archives/edgar/data/1513845/000104581026000062/xslSCHEDULE_13G_X01/primary_doc.xml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Exercise followed by NVIDIA reducing its holding (13G/A &lt; 22,256,412 or 13F common below it) [E]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NVIDIA holding increases (13G/A &gt; 22,256,412) or a new strategic investment [E]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Exercise itself is FD-neutral (already in FD and basic WASO). Matters only for treasury/headroom and signalling</w:t>
            </w:r>
          </w:p>
        </w:tc>
      </w:tr>
      <w:tr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19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Customer concentration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Q3 interim FS Note 1 (concentration)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Q2'26: Customer C 24% / D 21% / E 14% of revenue = 59% top-3 [R/D]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Q2'26 interim FS (6-K 8/12/26) https://www.sec.gov/Archives/edgar/data/1513845/000110465926094844/nbis-20260812xex99d2.htm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Top-3 ≥ 59% [E]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Top-3 &lt; 50% with new IG logos [E]</w:t>
            </w:r>
          </w:p>
        </w:tc>
        <w:tc>
          <w:tcPr>
            <w:tcW w:type="dxa" w:w="1764"/>
          </w:tcPr>
          <w:p>
            <w:r>
              <w:rPr>
                <w:sz w:val="16"/>
              </w:rPr>
            </w:r>
            <w:r>
              <w:rPr>
                <w:sz w:val="16"/>
              </w:rPr>
              <w:t>Customers unnamed</w:t>
            </w:r>
          </w:p>
        </w:tc>
      </w:tr>
    </w:tbl>
    <w:p/>
    <w:p>
      <w:pPr>
        <w:pStyle w:val="Heading2"/>
      </w:pPr>
      <w:r>
        <w:t>What changed on 10/8 (v0.9e re-key)</w:t>
      </w:r>
    </w:p>
    <w:p>
      <w:pPr>
        <w:pStyle w:val="ListBullet"/>
      </w:pPr>
      <w:r>
        <w:rPr>
          <w:b/>
        </w:rPr>
        <w:t>Q3'26 results date</w:t>
      </w:r>
      <w:r>
        <w:t xml:space="preserve"> (D2): Team-locked date wording (10/8).</w:t>
      </w:r>
    </w:p>
    <w:p>
      <w:pPr>
        <w:pStyle w:val="ListBullet"/>
      </w:pPr>
      <w:r>
        <w:rPr>
          <w:b/>
        </w:rPr>
        <w:t>Q3'26 results date</w:t>
      </w:r>
      <w:r>
        <w:t xml:space="preserve"> (E2): Re-check 10/8.</w:t>
      </w:r>
    </w:p>
    <w:p>
      <w:pPr>
        <w:pStyle w:val="ListBullet"/>
      </w:pPr>
      <w:r>
        <w:rPr>
          <w:b/>
        </w:rPr>
        <w:t>Q3'26 results date</w:t>
      </w:r>
      <w:r>
        <w:t xml:space="preserve"> (H2): Capacity fix applied.</w:t>
      </w:r>
    </w:p>
    <w:p>
      <w:pPr>
        <w:pStyle w:val="ListBullet"/>
      </w:pPr>
      <w:r>
        <w:rPr>
          <w:b/>
        </w:rPr>
        <w:t>Billing / active MW</w:t>
      </w:r>
      <w:r>
        <w:t xml:space="preserve"> (D3): v0.9e MW lock.</w:t>
      </w:r>
    </w:p>
    <w:p>
      <w:pPr>
        <w:pStyle w:val="ListBullet"/>
      </w:pPr>
      <w:r>
        <w:rPr>
          <w:b/>
        </w:rPr>
        <w:t>Billing / active MW</w:t>
      </w:r>
      <w:r>
        <w:t xml:space="preserve"> (E3): v0.9e.</w:t>
      </w:r>
    </w:p>
    <w:p>
      <w:pPr>
        <w:pStyle w:val="ListBullet"/>
      </w:pPr>
      <w:r>
        <w:rPr>
          <w:b/>
        </w:rPr>
        <w:t>Billing / active MW</w:t>
      </w:r>
      <w:r>
        <w:t xml:space="preserve"> (F3): 475 -&gt; 531.8 (v0.9e).</w:t>
      </w:r>
    </w:p>
    <w:p>
      <w:pPr>
        <w:pStyle w:val="ListBullet"/>
      </w:pPr>
      <w:r>
        <w:rPr>
          <w:b/>
        </w:rPr>
        <w:t>Billing / active MW</w:t>
      </w:r>
      <w:r>
        <w:t xml:space="preserve"> (G3): 645 -&gt; 659.2 (v0.9e); added 768.75 MW outright-break marker.</w:t>
      </w:r>
    </w:p>
    <w:p>
      <w:pPr>
        <w:pStyle w:val="ListBullet"/>
      </w:pPr>
      <w:r>
        <w:rPr>
          <w:b/>
        </w:rPr>
        <w:t>Billing / active MW</w:t>
      </w:r>
      <w:r>
        <w:t xml:space="preserve"> (H3): v0.9e ratios.</w:t>
      </w:r>
    </w:p>
    <w:p>
      <w:pPr>
        <w:pStyle w:val="ListBullet"/>
      </w:pPr>
      <w:r>
        <w:rPr>
          <w:b/>
        </w:rPr>
        <w:t>New signed contracts: MW and $/MW</w:t>
      </w:r>
      <w:r>
        <w:t xml:space="preserve"> (D12): Band widened to $16.7M (10/8).</w:t>
      </w:r>
    </w:p>
    <w:p>
      <w:pPr>
        <w:pStyle w:val="ListBullet"/>
      </w:pPr>
      <w:r>
        <w:rPr>
          <w:b/>
        </w:rPr>
        <w:t>New signed contracts: MW and $/MW</w:t>
      </w:r>
      <w:r>
        <w:t xml:space="preserve"> (F12): $16.2M -&gt; $16.7M (Lambda–Anthropic).</w:t>
      </w:r>
    </w:p>
    <w:p>
      <w:pPr>
        <w:pStyle w:val="ListBullet"/>
      </w:pPr>
      <w:r>
        <w:rPr>
          <w:b/>
        </w:rPr>
        <w:t>New signed contracts: MW and $/MW</w:t>
      </w:r>
      <w:r>
        <w:t xml:space="preserve"> (G12): ≥$22–24M -&gt; tiered: ≥$20M fork-break / ≥$24.51M clears spot / ~$27.6M non-MSFT book average.</w:t>
      </w:r>
    </w:p>
    <w:p>
      <w:pPr>
        <w:pStyle w:val="ListBullet"/>
      </w:pPr>
      <w:r>
        <w:rPr>
          <w:b/>
        </w:rPr>
        <w:t>New signed contracts: MW and $/MW</w:t>
      </w:r>
      <w:r>
        <w:t xml:space="preserve"> (H12): v0.9e duration line.</w:t>
      </w:r>
    </w:p>
    <w:p>
      <w:pPr>
        <w:pStyle w:val="ListBullet"/>
      </w:pPr>
      <w:r>
        <w:rPr>
          <w:b/>
        </w:rPr>
        <w:t>Fully diluted shares / no-vote headroom</w:t>
      </w:r>
      <w:r>
        <w:t xml:space="preserve"> (D16): Base FD 376.6M -&gt; 358.56M (debt convention, v0.9e).</w:t>
      </w:r>
    </w:p>
    <w:p>
      <w:pPr>
        <w:pStyle w:val="ListBullet"/>
      </w:pPr>
      <w:r>
        <w:rPr>
          <w:b/>
        </w:rPr>
        <w:t>Fully diluted shares / no-vote headroom</w:t>
      </w:r>
      <w:r>
        <w:t xml:space="preserve"> (E16): 10/8 bridge.</w:t>
      </w:r>
    </w:p>
    <w:p>
      <w:pPr>
        <w:pStyle w:val="ListBullet"/>
      </w:pPr>
      <w:r>
        <w:rPr>
          <w:b/>
        </w:rPr>
        <w:t>Fully diluted shares / no-vote headroom</w:t>
      </w:r>
      <w:r>
        <w:t xml:space="preserve"> (F16): ~377M -&gt; ~359.4M (debt basis).</w:t>
      </w:r>
    </w:p>
    <w:p>
      <w:pPr>
        <w:pStyle w:val="ListBullet"/>
      </w:pPr>
      <w:r>
        <w:rPr>
          <w:b/>
        </w:rPr>
        <w:t>Fully diluted shares / no-vote headroom</w:t>
      </w:r>
      <w:r>
        <w:t xml:space="preserve"> (G16): 376.6M -&gt; 358.56M.</w:t>
      </w:r>
    </w:p>
    <w:p>
      <w:pPr>
        <w:pStyle w:val="ListBullet"/>
      </w:pPr>
      <w:r>
        <w:rPr>
          <w:b/>
        </w:rPr>
        <w:t>Fully diluted shares / no-vote headroom</w:t>
      </w:r>
      <w:r>
        <w:t xml:space="preserve"> (H16): v0.9e funding gap and strikes.</w:t>
      </w:r>
    </w:p>
    <w:p>
      <w:r>
        <w:t>Rows not tied to the model (ARR, revenue, RPO, deferred release, prepays, payback, capex, ATM, facility, warrant, concentration) are unchanged; they come from guidance math and still apply.</w:t>
      </w:r>
    </w:p>
    <w:p>
      <w:r>
        <w:rPr>
          <w:b/>
        </w:rPr>
        <w:t>v0.9e PTs</w:t>
      </w:r>
      <w:r>
        <w:t xml:space="preserve"> (spot $237.15): base $0, stop-building $13.21, A4 $223, D3 $281 (Judge basis, scenario only; old $217.0 / $273.7 were one-price, retired 10/8), bull $400.5 (only if-converted case) [D, Modeling].</w:t>
      </w:r>
    </w:p>
    <w:p>
      <w:pPr>
        <w:pStyle w:val="Heading2"/>
      </w:pPr>
      <w:r>
        <w:t>Top 5 to read first on results day</w:t>
      </w:r>
    </w:p>
    <w:p>
      <w:pPr>
        <w:pStyle w:val="ListNumber"/>
      </w:pPr>
      <w:r>
        <w:rPr>
          <w:b/>
        </w:rPr>
        <w:t>Sept ARR vs $4.6B / $5.5B</w:t>
      </w:r>
      <w:r>
        <w:t xml:space="preserve"> and whether the </w:t>
      </w:r>
      <w:r>
        <w:rPr>
          <w:b/>
        </w:rPr>
        <w:t>$7–9B YE26 ARR</w:t>
      </w:r>
      <w:r>
        <w:t xml:space="preserve"> guide holds [E thresholds].</w:t>
      </w:r>
    </w:p>
    <w:p>
      <w:pPr>
        <w:pStyle w:val="ListNumber"/>
      </w:pPr>
      <w:r>
        <w:rPr>
          <w:b/>
        </w:rPr>
        <w:t>Microsoft tranches on permanent power (primary), then billed MW only.</w:t>
      </w:r>
      <w:r>
        <w:t xml:space="preserve"> ≤4 of 9 confirms, ≥5 breaks. Compare only a billed or revenue-generating 9/30 figure with the </w:t>
      </w:r>
      <w:r>
        <w:rPr>
          <w:b/>
        </w:rPr>
        <w:t>257.7 / 284.2</w:t>
      </w:r>
      <w:r>
        <w:t xml:space="preserve"> YE26 path; an active or connected figure, or silence, makes the MW test n/a. </w:t>
      </w:r>
      <w:r>
        <w:rPr>
          <w:b/>
        </w:rPr>
        <w:t>531.8 / 659.2</w:t>
      </w:r>
      <w:r>
        <w:t xml:space="preserve"> applies only to a 2027 guide.</w:t>
      </w:r>
    </w:p>
    <w:p>
      <w:pPr>
        <w:pStyle w:val="ListNumber"/>
      </w:pPr>
      <w:r>
        <w:rPr>
          <w:b/>
        </w:rPr>
        <w:t>RPO at 9/30 vs $37.5B</w:t>
      </w:r>
      <w:r>
        <w:t xml:space="preserve"> (≤$39.5B confirm / ≥$42.5B break) and whether "&gt;$40B" is still quoted.</w:t>
      </w:r>
    </w:p>
    <w:p>
      <w:pPr>
        <w:pStyle w:val="ListNumber"/>
      </w:pPr>
      <w:r>
        <w:rPr>
          <w:b/>
        </w:rPr>
        <w:t>Class A count vs ~254.2M pro forma</w:t>
      </w:r>
      <w:r>
        <w:t xml:space="preserve"> (debt-basis FD 358.56M) and </w:t>
      </w:r>
      <w:r>
        <w:rPr>
          <w:b/>
        </w:rPr>
        <w:t>ATM remaining vs 12,270,507</w:t>
      </w:r>
      <w:r>
        <w:t>. Any gap means equity was used.</w:t>
      </w:r>
    </w:p>
    <w:p>
      <w:pPr>
        <w:pStyle w:val="ListNumber"/>
      </w:pPr>
      <w:r>
        <w:rPr>
          <w:b/>
        </w:rPr>
        <w:t>Any new deal with MW disclosed at ≥$20M/MW</w:t>
      </w:r>
      <w:r>
        <w:t xml:space="preserve"> (fork break) and </w:t>
      </w:r>
      <w:r>
        <w:rPr>
          <w:b/>
        </w:rPr>
        <w:t>Microsoft tranche language.</w:t>
      </w:r>
      <w:r>
        <w:t xml:space="preserve"> Count of tranches on permanent power, SLA credits, and the NJDEP genset deadline (~Nov 6) landing days before results.</w:t>
      </w:r>
    </w:p>
    <w:p>
      <w:pPr>
        <w:pStyle w:val="Heading2"/>
      </w:pPr>
      <w:r>
        <w:t>Source files</w:t>
      </w:r>
    </w:p>
    <w:p>
      <w:pPr>
        <w:pStyle w:val="ListBullet"/>
      </w:pPr>
      <w:r>
        <w:rPr>
          <w:rFonts w:ascii="Consolas" w:hAnsi="Consolas"/>
        </w:rPr>
        <w:t>fd_share_bridge.md</w:t>
      </w:r>
      <w:r>
        <w:t xml:space="preserve"> / </w:t>
      </w:r>
      <w:r>
        <w:rPr>
          <w:rFonts w:ascii="Consolas" w:hAnsi="Consolas"/>
        </w:rPr>
        <w:t>post630_capital_update.md</w:t>
      </w:r>
      <w:r>
        <w:t xml:space="preserve"> (share count / FD / headroom math) · </w:t>
      </w:r>
      <w:r>
        <w:rPr>
          <w:rFonts w:ascii="Consolas" w:hAnsi="Consolas"/>
        </w:rPr>
        <w:t>backlog_rpo_reconciliation.md</w:t>
      </w:r>
      <w:r>
        <w:t xml:space="preserve"> · </w:t>
      </w:r>
      <w:r>
        <w:rPr>
          <w:rFonts w:ascii="Consolas" w:hAnsi="Consolas"/>
        </w:rPr>
        <w:t>deferred_rpo_note.md</w:t>
      </w:r>
      <w:r>
        <w:t xml:space="preserve"> · </w:t>
      </w:r>
      <w:r>
        <w:rPr>
          <w:rFonts w:ascii="Consolas" w:hAnsi="Consolas"/>
        </w:rPr>
        <w:t>capacity/site_tracker_wed.md</w:t>
      </w:r>
      <w:r>
        <w:t xml:space="preserve"> · </w:t>
      </w:r>
      <w:r>
        <w:rPr>
          <w:rFonts w:ascii="Consolas" w:hAnsi="Consolas"/>
        </w:rPr>
        <w:t>capacity/vineland_watch.md</w:t>
      </w:r>
      <w:r>
        <w:t xml:space="preserve"> · </w:t>
      </w:r>
      <w:r>
        <w:rPr>
          <w:rFonts w:ascii="Consolas" w:hAnsi="Consolas"/>
        </w:rPr>
        <w:t>nebius_fact_base.md</w:t>
      </w:r>
    </w:p>
    <w:p>
      <w:pPr>
        <w:pStyle w:val="ListBullet"/>
      </w:pPr>
      <w:r>
        <w:t xml:space="preserve">Companion workbook: </w:t>
      </w:r>
      <w:r>
        <w:rPr>
          <w:rFonts w:ascii="Consolas" w:hAnsi="Consolas"/>
        </w:rPr>
        <w:t>q3_watchlist.xlsx</w:t>
      </w:r>
      <w:r>
        <w:t xml:space="preserve"> (one row per metric, same columns)</w:t>
      </w:r>
    </w:p>
    <w:p>
      <w:r>
        <w:rPr>
          <w:b/>
        </w:rPr>
        <w:t>Second re-cut (10/8, after Skeptic):</w:t>
      </w:r>
      <w:r>
        <w:t xml:space="preserve"> row 2 (billing MW) now tests what Q3 actually reports: 9/30 active MW against the YE26 257.7 / 284.2 path, plus the Microsoft tranche count. The FY27 531.8 / 659.2 bar applies only if a 2027 MW guide is given. Row 15 (FD/headroom) tests treasury only; the ATM tell stays on basic Class A (row 14, &gt;~255M, which already includes the August exchange shares). FD 358,558,306 is the PT basis only.</w:t>
      </w:r>
    </w:p>
    <w:p>
      <w:r>
        <w:rPr>
          <w:b/>
        </w:rPr>
        <w:t>Third re-cut (10/8, Capacity/Grok), watch-list LOCKED:</w:t>
      </w:r>
      <w:r>
        <w:t xml:space="preserve"> row 2 tests only billed or revenue-generating MW at 9/30 against the 257.7 / 284.2 YE26 path. Active or connected MW (connected ≈3× billed, 941 vs 257.7) or no MW disclosure makes that test n/a. The Microsoft tranche count is the primary test: ≤4 of 9 confirms, ≥5 breaks.</w:t>
      </w:r>
    </w:p>
    <w:p>
      <w:r>
        <w:rPr>
          <w:b/>
        </w:rPr>
        <w:t>Note (10/8, no threshold change):</w:t>
      </w:r>
      <w:r>
        <w:t xml:space="preserve"> Modeling's solved high-path price to clear spot is $22.68M (GB300) / $22.96M (Rubin) [D]. Bitdeer's ≤$22.4M ceiling misses by $0.28M on an IT basis (MW basis unstated; ~$25M per IT MW if gross) (PT $227.72 high / $177.68 base vs $237.15).</w:t>
      </w:r>
    </w:p>
    <w:p>
      <w:r>
        <w:rPr>
          <w:b/>
        </w:rPr>
        <w:t>Re-cut (10/8, Skeptic/Modeling), new-contracts row:</w:t>
      </w:r>
      <w:r>
        <w:t xml:space="preserve"> the break is now keyed to the path. If billed MW tracks high (9/30 billed plus Q4 plan consistent with YE26 ≥284.2), deals at ≥$22.7M/MW covering a material share of uncontracted MW break the short. Otherwise the break stays at $24.51M. A single 15–20 MW print doesn't break it. ≥$20M with MW disclosed stays as a same-day flag only.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