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Q&amp;A: Microsoft “all tranches delivered”</w:t>
      </w:r>
    </w:p>
    <w:p>
      <w:r>
        <w:rPr>
          <w:i/>
          <w:sz w:val="20"/>
        </w:rPr>
        <w:t>Nebius (NBIS) · Point72 pitch backup · public information only · Mon Oct 5, 2026 ET</w:t>
      </w:r>
    </w:p>
    <w:p>
      <w:pPr>
        <w:pStyle w:val="Heading2"/>
      </w:pPr>
      <w:r>
        <w:t>Judge</w:t>
      </w:r>
    </w:p>
    <w:p>
      <w:r>
        <w:t>“Management said all Microsoft tranches are delivered.”</w:t>
      </w:r>
    </w:p>
    <w:p>
      <w:pPr>
        <w:pStyle w:val="Heading2"/>
      </w:pPr>
      <w:r>
        <w:t>Answer</w:t>
      </w:r>
    </w:p>
    <w:p>
      <w:r>
        <w:t>Don’t cite the letter alone. Pair the Q2 shareholder letter with Andrey on the call:</w:t>
      </w:r>
    </w:p>
    <w:p>
      <w:pPr>
        <w:pStyle w:val="ListNumber"/>
      </w:pPr>
      <w:r>
        <w:t>Letter [R]: “To date, we’ve delivered all capacity tranches to Microsoft under the contract, including two tranches over the past month.”</w:t>
      </w:r>
    </w:p>
    <w:p>
      <w:pPr>
        <w:pStyle w:val="ListNumber"/>
      </w:pPr>
      <w:r>
        <w:t>Call — Andrey [R]: “We delivered all the tranches that we were required to deliver under the contract up to date. We have all the reasons to believe that we will continue to deliver the remaining tranches as required by the contract.” … “Bloom fuel cells deployment should be fast.”</w:t>
      </w:r>
    </w:p>
    <w:p>
      <w:pPr>
        <w:pStyle w:val="ListNumber"/>
      </w:pPr>
      <w:r>
        <w:t>Capacity team lock: 4 of 9 Microsoft tranches live on gensets (~107 IT MW); T5–T9 wait on Bloom.</w:t>
      </w:r>
    </w:p>
    <w:p>
      <w:r>
        <w:rPr>
          <w:b/>
        </w:rPr>
        <w:t xml:space="preserve">Slide language: </w:t>
      </w:r>
      <w:r>
        <w:t>“4 of 9 Microsoft tranches live on gensets; T5–T9 wait on Bloom.”</w:t>
      </w:r>
    </w:p>
    <w:p>
      <w:pPr>
        <w:pStyle w:val="Heading2"/>
      </w:pPr>
      <w:r>
        <w:t>Tags</w:t>
      </w:r>
    </w:p>
    <w:tbl>
      <w:tblPr>
        <w:tblStyle w:val="TableGrid"/>
        <w:tblW w:type="auto" w:w="0"/>
        <w:tblLook w:firstColumn="1" w:firstRow="1" w:lastColumn="0" w:lastRow="0" w:noHBand="0" w:noVBand="1" w:val="04A0"/>
      </w:tblPr>
      <w:tblGrid>
        <w:gridCol w:w="2880"/>
        <w:gridCol w:w="2880"/>
        <w:gridCol w:w="2880"/>
      </w:tblGrid>
      <w:tr>
        <w:tc>
          <w:tcPr>
            <w:tcW w:type="dxa" w:w="2880"/>
          </w:tcPr>
          <w:p>
            <w:r>
              <w:t>Claim</w:t>
            </w:r>
          </w:p>
        </w:tc>
        <w:tc>
          <w:tcPr>
            <w:tcW w:type="dxa" w:w="2880"/>
          </w:tcPr>
          <w:p>
            <w:r>
              <w:t>Tag</w:t>
            </w:r>
          </w:p>
        </w:tc>
        <w:tc>
          <w:tcPr>
            <w:tcW w:type="dxa" w:w="2880"/>
          </w:tcPr>
          <w:p>
            <w:r>
              <w:t>Basis</w:t>
            </w:r>
          </w:p>
        </w:tc>
      </w:tr>
      <w:tr>
        <w:tc>
          <w:tcPr>
            <w:tcW w:type="dxa" w:w="2880"/>
          </w:tcPr>
          <w:p>
            <w:r>
              <w:t>Letter: “all capacity tranches”</w:t>
            </w:r>
          </w:p>
        </w:tc>
        <w:tc>
          <w:tcPr>
            <w:tcW w:type="dxa" w:w="2880"/>
          </w:tcPr>
          <w:p>
            <w:r>
              <w:t>[R]</w:t>
            </w:r>
          </w:p>
        </w:tc>
        <w:tc>
          <w:tcPr>
            <w:tcW w:type="dxa" w:w="2880"/>
          </w:tcPr>
          <w:p>
            <w:r>
              <w:t>Q2’26 letter</w:t>
            </w:r>
          </w:p>
        </w:tc>
      </w:tr>
      <w:tr>
        <w:tc>
          <w:tcPr>
            <w:tcW w:type="dxa" w:w="2880"/>
          </w:tcPr>
          <w:p>
            <w:r>
              <w:t>Call: “up to date” / “remaining tranches” / Bloom</w:t>
            </w:r>
          </w:p>
        </w:tc>
        <w:tc>
          <w:tcPr>
            <w:tcW w:type="dxa" w:w="2880"/>
          </w:tcPr>
          <w:p>
            <w:r>
              <w:t>[R]</w:t>
            </w:r>
          </w:p>
        </w:tc>
        <w:tc>
          <w:tcPr>
            <w:tcW w:type="dxa" w:w="2880"/>
          </w:tcPr>
          <w:p>
            <w:r>
              <w:t>Andrey, Q2’26 call</w:t>
            </w:r>
          </w:p>
        </w:tc>
      </w:tr>
      <w:tr>
        <w:tc>
          <w:tcPr>
            <w:tcW w:type="dxa" w:w="2880"/>
          </w:tcPr>
          <w:p>
            <w:r>
              <w:t>9 tranches under MSFT contract</w:t>
            </w:r>
          </w:p>
        </w:tc>
        <w:tc>
          <w:tcPr>
            <w:tcW w:type="dxa" w:w="2880"/>
          </w:tcPr>
          <w:p>
            <w:r>
              <w:t>[R]</w:t>
            </w:r>
          </w:p>
        </w:tc>
        <w:tc>
          <w:tcPr>
            <w:tcW w:type="dxa" w:w="2880"/>
          </w:tcPr>
          <w:p>
            <w:r>
              <w:t>YE25 20-F / fact base</w:t>
            </w:r>
          </w:p>
        </w:tc>
      </w:tr>
      <w:tr>
        <w:tc>
          <w:tcPr>
            <w:tcW w:type="dxa" w:w="2880"/>
          </w:tcPr>
          <w:p>
            <w:r>
              <w:t>4 of 9 live on gensets</w:t>
            </w:r>
          </w:p>
        </w:tc>
        <w:tc>
          <w:tcPr>
            <w:tcW w:type="dxa" w:w="2880"/>
          </w:tcPr>
          <w:p>
            <w:r>
              <w:t>[D] Capacity</w:t>
            </w:r>
          </w:p>
        </w:tc>
        <w:tc>
          <w:tcPr>
            <w:tcW w:type="dxa" w:w="2880"/>
          </w:tcPr>
          <w:p>
            <w:r>
              <w:t>Team conclusion — do not re-litigate</w:t>
            </w:r>
          </w:p>
        </w:tc>
      </w:tr>
      <w:tr>
        <w:tc>
          <w:tcPr>
            <w:tcW w:type="dxa" w:w="2880"/>
          </w:tcPr>
          <w:p>
            <w:r>
              <w:t>~107 IT MW on T1–T4</w:t>
            </w:r>
          </w:p>
        </w:tc>
        <w:tc>
          <w:tcPr>
            <w:tcW w:type="dxa" w:w="2880"/>
          </w:tcPr>
          <w:p>
            <w:r>
              <w:t>[E] equal-split</w:t>
            </w:r>
          </w:p>
        </w:tc>
        <w:tc>
          <w:tcPr>
            <w:tcW w:type="dxa" w:w="2880"/>
          </w:tcPr>
          <w:p>
            <w:r>
              <w:t>4/9 × ~240 MW IT; sizes not disclosed</w:t>
            </w:r>
          </w:p>
        </w:tc>
      </w:tr>
      <w:tr>
        <w:tc>
          <w:tcPr>
            <w:tcW w:type="dxa" w:w="2880"/>
          </w:tcPr>
          <w:p>
            <w:r>
              <w:t>T5–T9 wait on Bloom</w:t>
            </w:r>
          </w:p>
        </w:tc>
        <w:tc>
          <w:tcPr>
            <w:tcW w:type="dxa" w:w="2880"/>
          </w:tcPr>
          <w:p>
            <w:r>
              <w:t>[D]/[E]</w:t>
            </w:r>
          </w:p>
        </w:tc>
        <w:tc>
          <w:tcPr>
            <w:tcW w:type="dxa" w:w="2880"/>
          </w:tcPr>
          <w:p>
            <w:r>
              <w:t>Call + Capacity Vineland track</w:t>
            </w:r>
          </w:p>
        </w:tc>
      </w:tr>
    </w:tbl>
    <w:p>
      <w:pPr>
        <w:pStyle w:val="Heading2"/>
      </w:pPr>
      <w:r>
        <w:t>Why the letter alone misleads</w:t>
      </w:r>
    </w:p>
    <w:p>
      <w:r>
        <w:t>The letter’s “all capacity tranches” reads like 9/9 done. The call’s “up to date” / “remaining tranches” frames delivery as schedule-current, not fully energized on permanent power. Capacity: genset-backed T1–T4 live; Bloom-dependent T5–T9 still ahead. Always pair letter + call + Capacity 4-of-9 line.</w:t>
      </w:r>
    </w:p>
    <w:p>
      <w:pPr>
        <w:pStyle w:val="Heading2"/>
      </w:pPr>
      <w:r>
        <w:t>Sources</w:t>
      </w:r>
    </w:p>
    <w:p>
      <w:pPr>
        <w:pStyle w:val="ListBullet"/>
      </w:pPr>
      <w:r>
        <w:t>Q2’26 letter Ex.99.2; Q2’26 call mined transcript; capacity/vineland_watch.md; nebius_fact_base.md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