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YE26 $7–9B ARR Guide: Price or MW?</w:t>
      </w:r>
    </w:p>
    <w:p>
      <w:r>
        <w:t>Q&amp;A backup · Nebius (NBIS) · public information only · tags: [R] Reported, [D] Derived, [E] Estimated</w:t>
      </w:r>
    </w:p>
    <w:p>
      <w:r>
        <w:rPr>
          <w:i/>
        </w:rPr>
        <w:t>Q&amp;A backup · Nebius (NBIS) · public information only · tags: [R] Reported, [D] Derived, [E] Estimated</w:t>
      </w:r>
    </w:p>
    <w:p>
      <w:r>
        <w:rPr>
          <w:b/>
        </w:rPr>
        <w:t>**Finding:** The guide is only reachable if $/billed MW roughly doubles in H2'26 or YE26 billing MW lands well above Capacity's high path. Q3 will show which one.</w:t>
      </w:r>
    </w:p>
    <w:p>
      <w:pPr>
        <w:pStyle w:val="Heading2"/>
      </w:pPr>
      <w:r>
        <w:t>What management said</w:t>
      </w:r>
    </w:p>
    <w:p>
      <w:pPr>
        <w:pStyle w:val="ListBullet"/>
      </w:pPr>
      <w:r>
        <w:t>YE26 ARR guide: **$7–9B** [R]. ARR = December AI cloud revenue × 12. Reaffirmed on the Q2'26 call (8/12/26).</w:t>
      </w:r>
    </w:p>
    <w:p>
      <w:pPr>
        <w:pStyle w:val="ListBullet"/>
      </w:pPr>
      <w:r>
        <w:t>June 2026 ARR: **$3.0B** [R] (Q2 letter).</w:t>
      </w:r>
    </w:p>
    <w:p>
      <w:pPr>
        <w:pStyle w:val="ListBullet"/>
      </w:pPr>
      <w:r>
        <w:t>ACV per MW: 2026 base **~$12M** [R]; Q2 deals **&gt;$20M** [R]; Q3 short-term deals **&gt;$40M** [R]. The letter puts the opportunity at $40–50M [R]. **One** such deal has been signed, with capacity live in **Q4'26** [R] (Q2 letter).</w:t>
      </w:r>
    </w:p>
    <w:p>
      <w:pPr>
        <w:pStyle w:val="Heading2"/>
      </w:pPr>
      <w:r>
        <w:t>What the MW imply</w:t>
      </w:r>
    </w:p>
    <w:p>
      <w:pPr>
        <w:pStyle w:val="ListBullet"/>
      </w:pPr>
      <w:r>
        <w:t>June: $3.0B ÷ ~183–193 billed MW (Capacity site-count base; ~183 IT) = **~$15.5–16.4M/MW** [D]. This is a ceiling, because month-end billing MW was likely above the Q2 average.</w:t>
      </w:r>
    </w:p>
    <w:p>
      <w:pPr>
        <w:pStyle w:val="ListBullet"/>
      </w:pPr>
      <w:r>
        <w:t>YE26 base path, ~258 MW [E]: guide implies **~$27–35M/MW** [D].</w:t>
      </w:r>
    </w:p>
    <w:p>
      <w:pPr>
        <w:pStyle w:val="ListBullet"/>
      </w:pPr>
      <w:r>
        <w:t>YE26 high path, ~284 MW [E]: guide implies **~$25–32M/MW** [D].</w:t>
      </w:r>
    </w:p>
    <w:p>
      <w:pPr>
        <w:pStyle w:val="ListBullet"/>
      </w:pPr>
      <w:r>
        <w:t>**Short-term can't close the gap alone.** GPU Market's base short-term share is ~5% of capacity [E]. Suppose every non-short MW were priced at the Q2 new-deal $20M and short-term at $40–50M. A ~$30M blend would still need **~33–50%** of billing MW on short-term [D]. Today there is one signed deal. That share is outside the evidence.</w:t>
      </w:r>
    </w:p>
    <w:p>
      <w:pPr>
        <w:pStyle w:val="ListBullet"/>
      </w:pPr>
      <w:r>
        <w:t>**Token Factory / inference mix shift does not close the fork.** Filings disclose no TF revenue share [R]. GPU Market's best estimate is ~1–4% of revenue (TF alone ~1%, on-demand+TF ~4%, range 1–9% on Q2'26 revenue; OpenRouter floor is tiny) [E]. Even at the high end, mix shift cannot double $/billed MW on Nebius racks, and truly asset-light TF dollars are noise inside a $7–9B guide [D]. Capacity note: if TF runs on Nebius billing MW, the price reading still holds; if truly off our MW path, it only softens the MW reading at the margin [E].</w:t>
      </w:r>
    </w:p>
    <w:p>
      <w:pPr>
        <w:pStyle w:val="ListBullet"/>
      </w:pPr>
      <w:r>
        <w:t>**Street FY27 has the same fork.** Consensus is ~$12.3B [E]. Over the locked FY27 base of 531.8 average billed IT MW [D], that is **~$23.13M/MW (all customers)** [D]. At $16M/MW, the Street number needs ~769 average MW [D], against the locked high path of 659.2 [D]. That is a **~17% gap** [D].</w:t>
      </w:r>
    </w:p>
    <w:p>
      <w:pPr>
        <w:pStyle w:val="Heading2"/>
      </w:pPr>
      <w:r>
        <w:t>How we test it</w:t>
      </w:r>
    </w:p>
    <w:p>
      <w:pPr>
        <w:pStyle w:val="ListBullet"/>
      </w:pPr>
      <w:r>
        <w:t>**Date:** Q3 print, ~Nov 10. The date is unconfirmed; a third party lists Oct 22 as an alternative.</w:t>
      </w:r>
    </w:p>
    <w:p>
      <w:pPr>
        <w:pStyle w:val="ListBullet"/>
      </w:pPr>
      <w:r>
        <w:t>**Test:** printed ARR ÷ ~220–250 billing MW [E].</w:t>
      </w:r>
    </w:p>
    <w:p>
      <w:pPr>
        <w:pStyle w:val="ListBullet"/>
      </w:pPr>
      <w:r>
        <w:t>**If it is near $16M/MW and the $7–9B guide still stands**, management needs one of two things:</w:t>
      </w:r>
    </w:p>
    <w:p>
      <w:r>
        <w:t xml:space="preserve">  - ~150–180 MW of extra YE26 billing above the 258/284 paths, to reach $7B at $16M [D]; or</w:t>
      </w:r>
    </w:p>
    <w:p>
      <w:r>
        <w:t xml:space="preserve">  - a short-term share near **~40%** of the fleet [D].</w:t>
      </w:r>
    </w:p>
    <w:p>
      <w:pPr>
        <w:pStyle w:val="ListBullet"/>
      </w:pPr>
      <w:r>
        <w:t>**Read-through:** a guide cut and an MW miss both support the short. Only a visible step-up in $/MW (well above $20M) breaks the thesis.</w:t>
      </w:r>
    </w:p>
    <w:p>
      <w:r>
        <w:rPr>
          <w:i/>
        </w:rPr>
        <w:t>Sources: Nebius Q2'26 shareholder letter; Q2'26 earnings call (8/12/26); Capacity nebius_capacity.xlsx v2 billing paths (258/284 YE26; 475/645 FY27); GPU Market ShortTerm_Mix; Modeling judge slide v0.8g; nebius_fact_base.md.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