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Drivers v0.9e - two drivers, one basis (one page)</w:t>
      </w:r>
    </w:p>
    <w:p>
      <w:r>
        <w:t>Driver 1 - $/billed MW: market needs $24.5M (base) / $20.2M (9% + prepay + ABS) at $237.15 [D]; non-Microsoft hurdle ~$27.6M [D]; blended Street ~$23.1M [D]. Comps: disclosed band $9.7–16.7M† (Anthropic-Nscale $16.2M† 6-yr; MSFT-Nebius ~$17.1M 5-yr); Bitdeer A201 ceiling &lt;=$22.4M [D]; Needham $15-20M+ [E]; no clean &gt;=$20M mid-term print with exact MW. Turn-positive points (Judge basis): high $16.70M / base $17.05M; Lambda's $16.67M print is $0 on both paths. Base case PT still $0.</w:t>
      </w:r>
    </w:p>
    <w:p>
      <w:r>
        <w:t>Driver 2 - FY27 billed MW: engine-linked base ~531.8 / high ~659.2 (Capacity 536.5 / 663.8) vs ~769 needed at $16M (1.45x / 1.17x).</w:t>
      </w:r>
    </w:p>
    <w:p>
      <w:r>
        <w:t>Vineland answer: the revenue line (Contracts!F145:AG145 MS_Rev, FY27 $2,643.8M) books billed tranches = ~182.3 MW-yr at $14.5M (billing-MW row 141 avg 185.6); the old MW lock (Revenue!F12 MW_Avg via Sites row 326 VinEnIT) carried ~125.5. Judge A19 (typed $2,711M / ~187) now links to the engine.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Uncontracted GB300 $/billed MW-yr (Rubin = 1.0125×)</w:t>
            </w:r>
          </w:p>
        </w:tc>
        <w:tc>
          <w:tcPr>
            <w:tcW w:type="dxa" w:w="1728"/>
          </w:tcPr>
          <w:p>
            <w:r>
              <w:t>12m PT base $</w:t>
            </w:r>
          </w:p>
        </w:tc>
        <w:tc>
          <w:tcPr>
            <w:tcW w:type="dxa" w:w="1728"/>
          </w:tcPr>
          <w:p>
            <w:r>
              <w:t>12m PT high $</w:t>
            </w:r>
          </w:p>
        </w:tc>
        <w:tc>
          <w:tcPr>
            <w:tcW w:type="dxa" w:w="1728"/>
          </w:tcPr>
          <w:p>
            <w:r>
              <w:t>EV base $B</w:t>
            </w:r>
          </w:p>
        </w:tc>
        <w:tc>
          <w:tcPr>
            <w:tcW w:type="dxa" w:w="1728"/>
          </w:tcPr>
          <w:p>
            <w:r>
              <w:t>EV high $B</w:t>
            </w:r>
          </w:p>
        </w:tc>
      </w:tr>
      <w:tr>
        <w:tc>
          <w:tcPr>
            <w:tcW w:type="dxa" w:w="1728"/>
          </w:tcPr>
          <w:p>
            <w:r>
              <w:t>$14.5M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-6.20</w:t>
            </w:r>
          </w:p>
        </w:tc>
        <w:tc>
          <w:tcPr>
            <w:tcW w:type="dxa" w:w="1728"/>
          </w:tcPr>
          <w:p>
            <w:r>
              <w:t>-4.96</w:t>
            </w:r>
          </w:p>
        </w:tc>
      </w:tr>
      <w:tr>
        <w:tc>
          <w:tcPr>
            <w:tcW w:type="dxa" w:w="1728"/>
          </w:tcPr>
          <w:p>
            <w:r>
              <w:t>$16.0M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-0.90</w:t>
            </w:r>
          </w:p>
        </w:tc>
        <w:tc>
          <w:tcPr>
            <w:tcW w:type="dxa" w:w="1728"/>
          </w:tcPr>
          <w:p>
            <w:r>
              <w:t>1.66</w:t>
            </w:r>
          </w:p>
        </w:tc>
      </w:tr>
      <w:tr>
        <w:tc>
          <w:tcPr>
            <w:tcW w:type="dxa" w:w="1728"/>
          </w:tcPr>
          <w:p>
            <w:r>
              <w:t>$16.7M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6.99</w:t>
            </w:r>
          </w:p>
        </w:tc>
      </w:tr>
      <w:tr>
        <w:tc>
          <w:tcPr>
            <w:tcW w:type="dxa" w:w="1728"/>
          </w:tcPr>
          <w:p>
            <w:r>
              <w:t>$18M</w:t>
            </w:r>
          </w:p>
        </w:tc>
        <w:tc>
          <w:tcPr>
            <w:tcW w:type="dxa" w:w="1728"/>
          </w:tcPr>
          <w:p>
            <w:r>
              <w:t>39.02</w:t>
            </w:r>
          </w:p>
        </w:tc>
        <w:tc>
          <w:tcPr>
            <w:tcW w:type="dxa" w:w="1728"/>
          </w:tcPr>
          <w:p>
            <w:r>
              <w:t>62.74</w:t>
            </w:r>
          </w:p>
        </w:tc>
        <w:tc>
          <w:tcPr>
            <w:tcW w:type="dxa" w:w="1728"/>
          </w:tcPr>
          <w:p>
            <w:r>
              <w:t>14.57</w:t>
            </w:r>
          </w:p>
        </w:tc>
        <w:tc>
          <w:tcPr>
            <w:tcW w:type="dxa" w:w="1728"/>
          </w:tcPr>
          <w:p>
            <w:r>
              <w:t>24.00</w:t>
            </w:r>
          </w:p>
        </w:tc>
      </w:tr>
      <w:tr>
        <w:tc>
          <w:tcPr>
            <w:tcW w:type="dxa" w:w="1728"/>
          </w:tcPr>
          <w:p>
            <w:r>
              <w:t>$20M</w:t>
            </w:r>
          </w:p>
        </w:tc>
        <w:tc>
          <w:tcPr>
            <w:tcW w:type="dxa" w:w="1728"/>
          </w:tcPr>
          <w:p>
            <w:r>
              <w:t>104.00</w:t>
            </w:r>
          </w:p>
        </w:tc>
        <w:tc>
          <w:tcPr>
            <w:tcW w:type="dxa" w:w="1728"/>
          </w:tcPr>
          <w:p>
            <w:r>
              <w:t>140.83</w:t>
            </w:r>
          </w:p>
        </w:tc>
        <w:tc>
          <w:tcPr>
            <w:tcW w:type="dxa" w:w="1728"/>
          </w:tcPr>
          <w:p>
            <w:r>
              <w:t>32.33</w:t>
            </w:r>
          </w:p>
        </w:tc>
        <w:tc>
          <w:tcPr>
            <w:tcW w:type="dxa" w:w="1728"/>
          </w:tcPr>
          <w:p>
            <w:r>
              <w:t>45.31</w:t>
            </w:r>
          </w:p>
        </w:tc>
      </w:tr>
      <w:tr>
        <w:tc>
          <w:tcPr>
            <w:tcW w:type="dxa" w:w="1728"/>
          </w:tcPr>
          <w:p>
            <w:r>
              <w:t>$22.4M</w:t>
            </w:r>
          </w:p>
        </w:tc>
        <w:tc>
          <w:tcPr>
            <w:tcW w:type="dxa" w:w="1728"/>
          </w:tcPr>
          <w:p>
            <w:r>
              <w:t>177.68</w:t>
            </w:r>
          </w:p>
        </w:tc>
        <w:tc>
          <w:tcPr>
            <w:tcW w:type="dxa" w:w="1728"/>
          </w:tcPr>
          <w:p>
            <w:r>
              <w:t>227.72</w:t>
            </w:r>
          </w:p>
        </w:tc>
        <w:tc>
          <w:tcPr>
            <w:tcW w:type="dxa" w:w="1728"/>
          </w:tcPr>
          <w:p>
            <w:r>
              <w:t>52.84</w:t>
            </w:r>
          </w:p>
        </w:tc>
        <w:tc>
          <w:tcPr>
            <w:tcW w:type="dxa" w:w="1728"/>
          </w:tcPr>
          <w:p>
            <w:r>
              <w:t>70.88</w:t>
            </w:r>
          </w:p>
        </w:tc>
      </w:tr>
      <w:tr>
        <w:tc>
          <w:tcPr>
            <w:tcW w:type="dxa" w:w="1728"/>
          </w:tcPr>
          <w:p>
            <w:r>
              <w:t>$24M</w:t>
            </w:r>
          </w:p>
        </w:tc>
        <w:tc>
          <w:tcPr>
            <w:tcW w:type="dxa" w:w="1728"/>
          </w:tcPr>
          <w:p>
            <w:r>
              <w:t>223.39</w:t>
            </w:r>
          </w:p>
        </w:tc>
        <w:tc>
          <w:tcPr>
            <w:tcW w:type="dxa" w:w="1728"/>
          </w:tcPr>
          <w:p>
            <w:r>
              <w:t>281.37</w:t>
            </w:r>
          </w:p>
        </w:tc>
        <w:tc>
          <w:tcPr>
            <w:tcW w:type="dxa" w:w="1728"/>
          </w:tcPr>
          <w:p>
            <w:r>
              <w:t>66.49</w:t>
            </w:r>
          </w:p>
        </w:tc>
        <w:tc>
          <w:tcPr>
            <w:tcW w:type="dxa" w:w="1728"/>
          </w:tcPr>
          <w:p>
            <w:r>
              <w:t>87.91</w:t>
            </w:r>
          </w:p>
        </w:tc>
      </w:tr>
      <w:tr>
        <w:tc>
          <w:tcPr>
            <w:tcW w:type="dxa" w:w="1728"/>
          </w:tcPr>
          <w:p>
            <w:r>
              <w:t>$26M</w:t>
            </w:r>
          </w:p>
        </w:tc>
        <w:tc>
          <w:tcPr>
            <w:tcW w:type="dxa" w:w="1728"/>
          </w:tcPr>
          <w:p>
            <w:r>
              <w:t>277.14</w:t>
            </w:r>
          </w:p>
        </w:tc>
        <w:tc>
          <w:tcPr>
            <w:tcW w:type="dxa" w:w="1728"/>
          </w:tcPr>
          <w:p>
            <w:r>
              <w:t>350.17</w:t>
            </w:r>
          </w:p>
        </w:tc>
        <w:tc>
          <w:tcPr>
            <w:tcW w:type="dxa" w:w="1728"/>
          </w:tcPr>
          <w:p>
            <w:r>
              <w:t>83.54</w:t>
            </w:r>
          </w:p>
        </w:tc>
        <w:tc>
          <w:tcPr>
            <w:tcW w:type="dxa" w:w="1728"/>
          </w:tcPr>
          <w:p>
            <w:r>
              <w:t>109.16</w:t>
            </w:r>
          </w:p>
        </w:tc>
      </w:tr>
    </w:tbl>
    <w:p>
      <w:r>
        <w:t>Two-way (Judge basis, table below): base clears $237.15 at $24.51M GB300 / $24.82M Rubin; high at $22.68M / $22.96M [D]. At every disclosed contract price ($9.7M to $16.7M) the PT is ~$0 (base $0; high $0.05 at the $16.7M top). Turn-positive points (Judge basis): high $16.70M / base $17.05M; Lambda's $16.67M print is $0 on both paths. Static full-model recalcs (Debate_Grid); reproduce with ND_Px / RubinMW (= 1.0125× GB300) / MWPathSel.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Scenario</w:t>
            </w:r>
          </w:p>
        </w:tc>
        <w:tc>
          <w:tcPr>
            <w:tcW w:type="dxa" w:w="960"/>
          </w:tcPr>
          <w:p>
            <w:r>
              <w:t>EV $B</w:t>
            </w:r>
          </w:p>
        </w:tc>
        <w:tc>
          <w:tcPr>
            <w:tcW w:type="dxa" w:w="960"/>
          </w:tcPr>
          <w:p>
            <w:r>
              <w:t>6m PT</w:t>
            </w:r>
          </w:p>
        </w:tc>
        <w:tc>
          <w:tcPr>
            <w:tcW w:type="dxa" w:w="960"/>
          </w:tcPr>
          <w:p>
            <w:r>
              <w:t>12m PT</w:t>
            </w:r>
          </w:p>
        </w:tc>
        <w:tc>
          <w:tcPr>
            <w:tcW w:type="dxa" w:w="960"/>
          </w:tcPr>
          <w:p>
            <w:r>
              <w:t>3y PT</w:t>
            </w:r>
          </w:p>
        </w:tc>
        <w:tc>
          <w:tcPr>
            <w:tcW w:type="dxa" w:w="960"/>
          </w:tcPr>
          <w:p>
            <w:r>
              <w:t>Spot memo</w:t>
            </w:r>
          </w:p>
        </w:tc>
        <w:tc>
          <w:tcPr>
            <w:tcW w:type="dxa" w:w="960"/>
          </w:tcPr>
          <w:p>
            <w:r>
              <w:t>Aug-26 notes</w:t>
            </w:r>
          </w:p>
        </w:tc>
        <w:tc>
          <w:tcPr>
            <w:tcW w:type="dxa" w:w="960"/>
          </w:tcPr>
          <w:p>
            <w:r>
              <w:t>FD M</w:t>
            </w:r>
          </w:p>
        </w:tc>
        <w:tc>
          <w:tcPr>
            <w:tcW w:type="dxa" w:w="960"/>
          </w:tcPr>
          <w:p>
            <w:r>
              <w:t>Shares needed</w:t>
            </w:r>
          </w:p>
        </w:tc>
      </w:tr>
      <w:tr>
        <w:tc>
          <w:tcPr>
            <w:tcW w:type="dxa" w:w="960"/>
          </w:tcPr>
          <w:p>
            <w:r>
              <w:t>Base</w:t>
            </w:r>
          </w:p>
        </w:tc>
        <w:tc>
          <w:tcPr>
            <w:tcW w:type="dxa" w:w="960"/>
          </w:tcPr>
          <w:p>
            <w:r>
              <w:t>-0.90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84.88</w:t>
            </w:r>
          </w:p>
        </w:tc>
        <w:tc>
          <w:tcPr>
            <w:tcW w:type="dxa" w:w="960"/>
          </w:tcPr>
          <w:p>
            <w:r>
              <w:t>debt</w:t>
            </w:r>
          </w:p>
        </w:tc>
        <w:tc>
          <w:tcPr>
            <w:tcW w:type="dxa" w:w="960"/>
          </w:tcPr>
          <w:p>
            <w:r>
              <w:t>358.56</w:t>
            </w:r>
          </w:p>
        </w:tc>
        <w:tc>
          <w:tcPr>
            <w:tcW w:type="dxa" w:w="960"/>
          </w:tcPr>
          <w:p>
            <w:r>
              <w:t>n.m. (no positive fixed point)</w:t>
            </w:r>
          </w:p>
        </w:tc>
      </w:tr>
      <w:tr>
        <w:tc>
          <w:tcPr>
            <w:tcW w:type="dxa" w:w="960"/>
          </w:tcPr>
          <w:p>
            <w:r>
              <w:t>Bull</w:t>
            </w:r>
          </w:p>
        </w:tc>
        <w:tc>
          <w:tcPr>
            <w:tcW w:type="dxa" w:w="960"/>
          </w:tcPr>
          <w:p>
            <w:r>
              <w:t>125.48</w:t>
            </w:r>
          </w:p>
        </w:tc>
        <w:tc>
          <w:tcPr>
            <w:tcW w:type="dxa" w:w="960"/>
          </w:tcPr>
          <w:p>
            <w:r>
              <w:t>378.45</w:t>
            </w:r>
          </w:p>
        </w:tc>
        <w:tc>
          <w:tcPr>
            <w:tcW w:type="dxa" w:w="960"/>
          </w:tcPr>
          <w:p>
            <w:r>
              <w:t>400.51</w:t>
            </w:r>
          </w:p>
        </w:tc>
        <w:tc>
          <w:tcPr>
            <w:tcW w:type="dxa" w:w="960"/>
          </w:tcPr>
          <w:p>
            <w:r>
              <w:t>502.40</w:t>
            </w:r>
          </w:p>
        </w:tc>
        <w:tc>
          <w:tcPr>
            <w:tcW w:type="dxa" w:w="960"/>
          </w:tcPr>
          <w:p>
            <w:r>
              <w:t>367.39</w:t>
            </w:r>
          </w:p>
        </w:tc>
        <w:tc>
          <w:tcPr>
            <w:tcW w:type="dxa" w:w="960"/>
          </w:tcPr>
          <w:p>
            <w:r>
              <w:t>if-converted</w:t>
            </w:r>
          </w:p>
        </w:tc>
        <w:tc>
          <w:tcPr>
            <w:tcW w:type="dxa" w:w="960"/>
          </w:tcPr>
          <w:p>
            <w:r>
              <w:t>376.65</w:t>
            </w:r>
          </w:p>
        </w:tc>
        <w:tc>
          <w:tcPr>
            <w:tcW w:type="dxa" w:w="960"/>
          </w:tcPr>
          <w:p>
            <w:r>
              <w:t>131M (~1.4-1.7x)</w:t>
            </w:r>
          </w:p>
        </w:tc>
      </w:tr>
      <w:tr>
        <w:tc>
          <w:tcPr>
            <w:tcW w:type="dxa" w:w="960"/>
          </w:tcPr>
          <w:p>
            <w:r>
              <w:t>Bear</w:t>
            </w:r>
          </w:p>
        </w:tc>
        <w:tc>
          <w:tcPr>
            <w:tcW w:type="dxa" w:w="960"/>
          </w:tcPr>
          <w:p>
            <w:r>
              <w:t>-34.36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31.08</w:t>
            </w:r>
          </w:p>
        </w:tc>
        <w:tc>
          <w:tcPr>
            <w:tcW w:type="dxa" w:w="960"/>
          </w:tcPr>
          <w:p>
            <w:r>
              <w:t>debt</w:t>
            </w:r>
          </w:p>
        </w:tc>
        <w:tc>
          <w:tcPr>
            <w:tcW w:type="dxa" w:w="960"/>
          </w:tcPr>
          <w:p>
            <w:r>
              <w:t>358.56</w:t>
            </w:r>
          </w:p>
        </w:tc>
        <w:tc>
          <w:tcPr>
            <w:tcW w:type="dxa" w:w="960"/>
          </w:tcPr>
          <w:p>
            <w:r>
              <w:t>n.m. (no positive fixed point)</w:t>
            </w:r>
          </w:p>
        </w:tc>
      </w:tr>
      <w:tr>
        <w:tc>
          <w:tcPr>
            <w:tcW w:type="dxa" w:w="960"/>
          </w:tcPr>
          <w:p>
            <w:r>
              <w:t>Stop-building</w:t>
            </w:r>
          </w:p>
        </w:tc>
        <w:tc>
          <w:tcPr>
            <w:tcW w:type="dxa" w:w="960"/>
          </w:tcPr>
          <w:p>
            <w:r>
              <w:t>9.77</w:t>
            </w:r>
          </w:p>
        </w:tc>
        <w:tc>
          <w:tcPr>
            <w:tcW w:type="dxa" w:w="960"/>
          </w:tcPr>
          <w:p>
            <w:r>
              <w:t>12.92</w:t>
            </w:r>
          </w:p>
        </w:tc>
        <w:tc>
          <w:tcPr>
            <w:tcW w:type="dxa" w:w="960"/>
          </w:tcPr>
          <w:p>
            <w:r>
              <w:t>13.21</w:t>
            </w:r>
          </w:p>
        </w:tc>
        <w:tc>
          <w:tcPr>
            <w:tcW w:type="dxa" w:w="960"/>
          </w:tcPr>
          <w:p>
            <w:r>
              <w:t>14.23</w:t>
            </w:r>
          </w:p>
        </w:tc>
        <w:tc>
          <w:tcPr>
            <w:tcW w:type="dxa" w:w="960"/>
          </w:tcPr>
          <w:p>
            <w:r>
              <w:t>13.21</w:t>
            </w:r>
          </w:p>
        </w:tc>
        <w:tc>
          <w:tcPr>
            <w:tcW w:type="dxa" w:w="960"/>
          </w:tcPr>
          <w:p>
            <w:r>
              <w:t>debt</w:t>
            </w:r>
          </w:p>
        </w:tc>
        <w:tc>
          <w:tcPr>
            <w:tcW w:type="dxa" w:w="960"/>
          </w:tcPr>
          <w:p>
            <w:r>
              <w:t>358.56</w:t>
            </w:r>
          </w:p>
        </w:tc>
        <w:tc>
          <w:tcPr>
            <w:tcW w:type="dxa" w:w="960"/>
          </w:tcPr>
          <w:p>
            <w:r>
              <w:t>0M (~0.0-0.0x)</w:t>
            </w:r>
          </w:p>
        </w:tc>
      </w:tr>
      <w:tr>
        <w:tc>
          <w:tcPr>
            <w:tcW w:type="dxa" w:w="960"/>
          </w:tcPr>
          <w:p>
            <w:r>
              <w:t>A4 (Judge $24M)</w:t>
            </w:r>
          </w:p>
        </w:tc>
        <w:tc>
          <w:tcPr>
            <w:tcW w:type="dxa" w:w="960"/>
          </w:tcPr>
          <w:p>
            <w:r>
              <w:t>66.49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223.39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debt</w:t>
            </w:r>
          </w:p>
        </w:tc>
        <w:tc>
          <w:tcPr>
            <w:tcW w:type="dxa" w:w="960"/>
          </w:tcPr>
          <w:p>
            <w:r>
              <w:t>358.56</w:t>
            </w:r>
          </w:p>
        </w:tc>
        <w:tc>
          <w:tcPr>
            <w:tcW w:type="dxa" w:w="960"/>
          </w:tcPr>
          <w:p>
            <w:r>
              <w:t>230M (~2.4-2.9x)</w:t>
            </w:r>
          </w:p>
        </w:tc>
      </w:tr>
      <w:tr>
        <w:tc>
          <w:tcPr>
            <w:tcW w:type="dxa" w:w="960"/>
          </w:tcPr>
          <w:p>
            <w:r>
              <w:t>D3 [scenario] (Judge $24M)</w:t>
            </w:r>
          </w:p>
        </w:tc>
        <w:tc>
          <w:tcPr>
            <w:tcW w:type="dxa" w:w="960"/>
          </w:tcPr>
          <w:p>
            <w:r>
              <w:t>87.91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281.37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n/s</w:t>
            </w:r>
          </w:p>
        </w:tc>
        <w:tc>
          <w:tcPr>
            <w:tcW w:type="dxa" w:w="960"/>
          </w:tcPr>
          <w:p>
            <w:r>
              <w:t>debt</w:t>
            </w:r>
          </w:p>
        </w:tc>
        <w:tc>
          <w:tcPr>
            <w:tcW w:type="dxa" w:w="960"/>
          </w:tcPr>
          <w:p>
            <w:r>
              <w:t>358.56</w:t>
            </w:r>
          </w:p>
        </w:tc>
        <w:tc>
          <w:tcPr>
            <w:tcW w:type="dxa" w:w="960"/>
          </w:tcPr>
          <w:p>
            <w:r>
              <w:t>226M (~2.3-2.9x)</w:t>
            </w:r>
          </w:p>
        </w:tc>
      </w:tr>
    </w:tbl>
    <w:p>
      <w:r>
        <w:t>Share convention: Aug-26 notes are debt below $313.46 (FD 358.56M), Feb-30 converts $313.46-324.65 (369.56M), both converted &gt;= $324.65 (376.65M), keyed to each scenario's own PT (no circularity: solved under each treatment, consistent one kept). Older six notes tested per tranche at their own conversion prices ($51.45 / $138.75 / $183.22 / $180.31) at the PT; unconverted notes in net debt at accreted value at the PT date (linear accretion, carrying -&gt; redemption amount [E method]). Wind-down senior claim ~$15.7B is a memo, not in the PT. RSUs 6.23M / options 6.74M (4.28M TSM) footnote only. Headroom ~78M (alt ~97M).</w:t>
      </w:r>
    </w:p>
    <w:p>
      <w:r>
        <w:rPr>
          <w:i/>
          <w:sz w:val="16"/>
        </w:rPr>
        <w:t>All figures Judge basis (Rubin = 1.0125× GB300). One-price figures retired Oct 8. A4/D3 now read the Judge-basis Debate_Grid $24.0M solves (12m PT, EV, shares needed); n/s = 6m / 3y / spot-memo PTs not re-solved on the Judge basis (one-price values retired). $22M one-price row replaced by the Judge $22.4M Bitdeer-ceiling solve.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