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Calibri" w:hAnsi="Calibri"/>
          <w:b/>
          <w:sz w:val="24"/>
        </w:rPr>
        <w:t>Judge numbers v0.9e — numbers only (SHORT headline; base case PT = $0)</w:t>
      </w:r>
    </w:p>
    <w:p>
      <w:pPr>
        <w:spacing w:before="20" w:after="40" w:line="240" w:lineRule="auto"/>
      </w:pPr>
      <w:r>
        <w:rPr>
          <w:rFonts w:ascii="Calibri" w:hAnsi="Calibri"/>
          <w:b w:val="0"/>
          <w:sz w:val="16"/>
        </w:rPr>
        <w:t>All $/MW = revenue per billed IT MW-yr. Spot $237.15 (Oct 7 close) [R]. Tags: R Reported / D Derived / E Estimated. Every PT below is a run_full solve (none is an interpolation).</w:t>
      </w:r>
    </w:p>
    <w:p>
      <w:pPr>
        <w:spacing w:before="20" w:after="20" w:line="240" w:lineRule="auto"/>
      </w:pPr>
      <w:r>
        <w:rPr>
          <w:rFonts w:ascii="Calibri" w:hAnsi="Calibri"/>
          <w:b w:val="0"/>
          <w:sz w:val="17"/>
        </w:rPr>
        <w:t>1) PRICE: non-MSFT hurdle ~$27.6M per billed MW [D] (Street FY27 $12.3B minus Microsoft FY27 $2,644M, over 349.5 non-Vineland billed MW) vs the disclosed band $9.7–16.7M (top = Lambda–Anthropic) [D]. Blended Street ~$23.1M [D]. To justify $237.15 the market needs $24.51M GB300 / $24.82M Rubin (base, 11% WACC) [D].</w:t>
      </w:r>
    </w:p>
    <w:p>
      <w:pPr>
        <w:spacing w:before="20" w:after="20" w:line="240" w:lineRule="auto"/>
      </w:pPr>
      <w:r>
        <w:rPr>
          <w:rFonts w:ascii="Calibri" w:hAnsi="Calibri"/>
          <w:b w:val="0"/>
          <w:sz w:val="17"/>
        </w:rPr>
        <w:t>2) MW: at $16M comps the Street needs 768.75 MW ($12.3B / $16M) [D] = 1.45x our 531.8 base (~237 short) and 1.17x our 659.2 high (~110 short) [D].</w:t>
      </w:r>
    </w:p>
    <w:p>
      <w:pPr>
        <w:spacing w:before="20" w:after="20" w:line="240" w:lineRule="auto"/>
      </w:pPr>
      <w:r>
        <w:rPr>
          <w:rFonts w:ascii="Calibri" w:hAnsi="Calibri"/>
          <w:b w:val="0"/>
          <w:sz w:val="17"/>
        </w:rPr>
        <w:t>3) CLEAR-SPOT: $24.51M base / $22.68M high (Judge basis; Rubin $24.82M / $22.96M) [D].</w:t>
      </w:r>
    </w:p>
    <w:p>
      <w:pPr>
        <w:spacing w:before="20" w:after="20" w:line="240" w:lineRule="auto"/>
      </w:pPr>
      <w:r>
        <w:rPr>
          <w:rFonts w:ascii="Calibri" w:hAnsi="Calibri"/>
          <w:b w:val="0"/>
          <w:sz w:val="17"/>
        </w:rPr>
        <w:t>4) PT AT PRICE (Judge basis): ≈$0 at every disclosed price in the band (base $0; high $0.05 at the $16.7M top) [D]; Lambda's actual print $16.67M [D, press inputs, medium confidence] = $0 on both paths (high zero at $16.6976M) [D]; $0–15 at $17M (the $15.43 high = hypothetical if Lambda's run-rate rises) [D]; $39–63 at $18M [D]; at the Bitdeer $22.4M ceiling, high ~$228 next to base ~$178 — the $228 is the best case (high path, every uncontracted MW repriced); the base case is $0 [D]. Deck line: "At every disclosed contract price ($9.7M to $16.7M), the PT is ~$0. At ~$17M it's $0–15, and even $18M only gets $39–63, against $237."</w:t>
      </w:r>
    </w:p>
    <w:p>
      <w:pPr>
        <w:spacing w:before="60" w:after="20" w:line="240" w:lineRule="auto"/>
      </w:pPr>
      <w:r>
        <w:rPr>
          <w:rFonts w:ascii="Calibri" w:hAnsi="Calibri"/>
          <w:b/>
          <w:sz w:val="18"/>
        </w:rPr>
        <w:t>Grid excerpt (Judge basis; 12m PT $/share) — marked rows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GB300 $M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Rubin $M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Marker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PT base $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PT high $</w:t>
            </w:r>
          </w:p>
        </w:tc>
      </w:tr>
      <w:tr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16.7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16.91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band top (Lambda–Anthropic)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0.00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0.05</w:t>
            </w:r>
          </w:p>
        </w:tc>
      </w:tr>
      <w:tr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16.67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16.88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Lambda actual print (press inputs, med. conf.); below $16.6976 zero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0.00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0.00</w:t>
            </w:r>
          </w:p>
        </w:tc>
      </w:tr>
      <w:tr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16.70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16.91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turn-positive HIGH (Judge): first PT &gt; 0; $0 at $16.6976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0.00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0.09</w:t>
            </w:r>
          </w:p>
        </w:tc>
      </w:tr>
      <w:tr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17.0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17.21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~$17M (high $15.43 = hypothetical if Lambda run-rate rises)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0.00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15.43</w:t>
            </w:r>
          </w:p>
        </w:tc>
      </w:tr>
      <w:tr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17.05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17.26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turn-positive BASE (Judge): first PT &gt; 0; $0 at $17.0432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0.12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17.77</w:t>
            </w:r>
          </w:p>
        </w:tc>
      </w:tr>
      <w:tr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18.0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18.23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$18M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39.02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62.74</w:t>
            </w:r>
          </w:p>
        </w:tc>
      </w:tr>
      <w:tr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22.4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22.68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Bitdeer A201 ceiling, MW basis unstated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177.68 (base)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227.72 best case: high path, every uncontracted MW repriced</w:t>
            </w:r>
          </w:p>
        </w:tc>
      </w:tr>
      <w:tr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22.68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22.96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high-path clear-spot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187.90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237.12</w:t>
            </w:r>
          </w:p>
        </w:tc>
      </w:tr>
      <w:tr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24.51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24.82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base clear-spot (Judge line 1)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237.10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298.45</w:t>
            </w:r>
          </w:p>
        </w:tc>
      </w:tr>
      <w:tr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27.6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27.95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5"/>
              </w:rPr>
              <w:t>non-MSFT hurdle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322.21</w:t>
            </w:r>
          </w:p>
        </w:tc>
        <w:tc>
          <w:tcPr>
            <w:tcW w:type="dxa" w:w="2189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15"/>
              </w:rPr>
              <w:t>401.18</w:t>
            </w:r>
          </w:p>
        </w:tc>
      </w:tr>
    </w:tbl>
    <w:p>
      <w:pPr>
        <w:spacing w:before="40" w:after="20" w:line="240" w:lineRule="auto"/>
      </w:pPr>
      <w:r>
        <w:rPr>
          <w:rFonts w:ascii="Calibri" w:hAnsi="Calibri"/>
          <w:b w:val="0"/>
          <w:sz w:val="16"/>
        </w:rPr>
        <w:t>Turn-positive points (Judge basis): high $16.70M (PT $0.09; $0 at $16.6976M) / base $17.05M (PT $0.12; $0 at $17.0432M) [D]; Lambda's $16.67M print is $0 on both paths [D].</w:t>
      </w:r>
    </w:p>
    <w:p>
      <w:pPr>
        <w:spacing w:before="20" w:after="20" w:line="240" w:lineRule="auto"/>
      </w:pPr>
      <w:r>
        <w:rPr>
          <w:rFonts w:ascii="Calibri" w:hAnsi="Calibri"/>
          <w:b/>
          <w:sz w:val="17"/>
        </w:rPr>
        <w:t>Kill lines: HIGH path tracking (9/30 billed MW + Q4 plan consistent with YE26 ≥284.2) AND new deals ≥$22.7M/MW on ≥100 MW or ≥$2B TCV [E]; else new deals ≥$24.51M/MW (base clear-spot) [D]; ≥5 of 9 MSFT tranches billing [D]. A single 15–20 MW print does not break the short.</w:t>
      </w:r>
    </w:p>
    <w:p>
      <w:pPr>
        <w:spacing w:before="40" w:after="0"/>
      </w:pPr>
      <w:r>
        <w:drawing>
          <wp:inline xmlns:a="http://schemas.openxmlformats.org/drawingml/2006/main" xmlns:pic="http://schemas.openxmlformats.org/drawingml/2006/picture">
            <wp:extent cx="6858000" cy="2976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ate_grid_v09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6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 w:line="240" w:lineRule="auto"/>
      </w:pPr>
      <w:r>
        <w:rPr>
          <w:rFonts w:ascii="Calibri" w:hAnsi="Calibri"/>
          <w:b w:val="0"/>
          <w:sz w:val="15"/>
        </w:rPr>
        <w:t>Sources/tags: spot $237.15 [R, Oct 7 close]; band $9.7–16.7M [D, comps; top = Lambda–Anthropic ~$35B / 6 yrs / ~350 MW]; Bitdeer A201 ceiling ≤$22.4M [D, MW basis unstated]; all PTs and clear-spot prices [D, nebius_model.xlsx v0.9e Debate_Grid, harness run_full 2026-10-08 15:14–15:21 ET: 3-tier new-note switch $313.46/$324.65, older notes per tranche at the PT, accreted at the PT date, MatCvPx second pass]; kill size bar ≥100 MW / ≥$2B TCV [E, uncontracted MW not disclosed]. Base case PT = $0.</w:t>
      </w:r>
    </w:p>
    <w:p>
      <w:r>
        <w:rPr>
          <w:i/>
          <w:sz w:val="14"/>
        </w:rPr>
        <w:t>All figures Judge basis (Rubin = 1.0125× GB300). One-price figures retired Oct 8.</w:t>
      </w:r>
    </w:p>
    <w:sectPr w:rsidR="00FC693F" w:rsidRPr="0006063C" w:rsidSect="00034616">
      <w:pgSz w:w="12240" w:h="15840"/>
      <w:pgMar w:top="504" w:right="648" w:bottom="43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