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sz w:val="24"/>
        </w:rPr>
        <w:t>NEBIUS (NBIS) - JUDGE SLIDE: what $/MW does $242.81 require?  (model v0.8e, provisional, 5 Oct 2026)</w:t>
      </w:r>
    </w:p>
    <w:p>
      <w:pPr>
        <w:spacing w:after="60"/>
      </w:pPr>
      <w:r>
        <w:rPr>
          <w:b/>
          <w:color w:val="C00000"/>
          <w:sz w:val="22"/>
        </w:rPr>
        <w:t>To justify $243 the market needs $25.0M/MW (GB300; Rubin $25.3M) on base inputs; $20.6M even at 9% WACC with 55% prepay + 50% ABS. The best owned-Rubin print is $16.2M.</w:t>
      </w:r>
    </w:p>
    <w:p>
      <w:pPr>
        <w:spacing w:after="60"/>
      </w:pPr>
      <w:r>
        <w:rPr>
          <w:b w:val="0"/>
        </w:rPr>
        <w:t>Solved new-deal price for a self-consistent PT of $242.81 (new shares issued at today's value, convert coupons charged; GB300 and Rubin moved together, Rubin 1.25% above GB300; signed Microsoft/Meta blocks unchanged).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  <w:sz w:val="16"/>
              </w:rPr>
              <w:t>Case</w:t>
            </w:r>
          </w:p>
        </w:tc>
        <w:tc>
          <w:tcPr>
            <w:tcW w:type="dxa" w:w="1752"/>
          </w:tcPr>
          <w:p>
            <w:r>
              <w:rPr>
                <w:b/>
                <w:sz w:val="16"/>
              </w:rPr>
              <w:t>GB300 $M/IT MW-yr</w:t>
            </w:r>
          </w:p>
        </w:tc>
        <w:tc>
          <w:tcPr>
            <w:tcW w:type="dxa" w:w="1752"/>
          </w:tcPr>
          <w:p>
            <w:r>
              <w:rPr>
                <w:b/>
                <w:sz w:val="16"/>
              </w:rPr>
              <w:t>Rubin $M/IT MW-yr</w:t>
            </w:r>
          </w:p>
        </w:tc>
        <w:tc>
          <w:tcPr>
            <w:tcW w:type="dxa" w:w="1752"/>
          </w:tcPr>
          <w:p>
            <w:r>
              <w:rPr>
                <w:b/>
                <w:sz w:val="16"/>
              </w:rPr>
              <w:t>x today</w:t>
            </w:r>
          </w:p>
        </w:tc>
        <w:tc>
          <w:tcPr>
            <w:tcW w:type="dxa" w:w="1752"/>
          </w:tcPr>
          <w:p>
            <w:r>
              <w:rPr>
                <w:b/>
                <w:sz w:val="16"/>
              </w:rPr>
              <w:t>EV $B</w:t>
            </w:r>
          </w:p>
        </w:tc>
        <w:tc>
          <w:tcPr>
            <w:tcW w:type="dxa" w:w="1752"/>
          </w:tcPr>
          <w:p>
            <w:r>
              <w:rPr>
                <w:b/>
                <w:sz w:val="16"/>
              </w:rPr>
              <w:t>Shares needed vs 132.5M</w:t>
            </w:r>
          </w:p>
        </w:tc>
      </w:tr>
      <w:tr>
        <w:tc>
          <w:tcPr>
            <w:tcW w:type="dxa" w:w="1752"/>
          </w:tcPr>
          <w:p>
            <w:r>
              <w:rPr>
                <w:b w:val="0"/>
                <w:sz w:val="16"/>
              </w:rPr>
              <w:t>(a) Base, 11% WACC</w:t>
            </w:r>
          </w:p>
        </w:tc>
        <w:tc>
          <w:tcPr>
            <w:tcW w:type="dxa" w:w="1752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1752"/>
          </w:tcPr>
          <w:p>
            <w:r>
              <w:rPr>
                <w:b w:val="0"/>
                <w:sz w:val="16"/>
              </w:rPr>
              <w:t>25.3</w:t>
            </w:r>
          </w:p>
        </w:tc>
        <w:tc>
          <w:tcPr>
            <w:tcW w:type="dxa" w:w="1752"/>
          </w:tcPr>
          <w:p>
            <w:r>
              <w:rPr>
                <w:b w:val="0"/>
                <w:sz w:val="16"/>
              </w:rPr>
              <w:t>1.56x</w:t>
            </w:r>
          </w:p>
        </w:tc>
        <w:tc>
          <w:tcPr>
            <w:tcW w:type="dxa" w:w="1752"/>
          </w:tcPr>
          <w:p>
            <w:r>
              <w:rPr>
                <w:b w:val="0"/>
                <w:sz w:val="16"/>
              </w:rPr>
              <w:t>75.1</w:t>
            </w:r>
          </w:p>
        </w:tc>
        <w:tc>
          <w:tcPr>
            <w:tcW w:type="dxa" w:w="1752"/>
          </w:tcPr>
          <w:p>
            <w:r>
              <w:rPr>
                <w:b w:val="0"/>
                <w:sz w:val="16"/>
              </w:rPr>
              <w:t>208M - exceeds</w:t>
            </w:r>
          </w:p>
        </w:tc>
      </w:tr>
      <w:tr>
        <w:tc>
          <w:tcPr>
            <w:tcW w:type="dxa" w:w="1752"/>
          </w:tcPr>
          <w:p>
            <w:r>
              <w:rPr>
                <w:b w:val="0"/>
                <w:sz w:val="16"/>
              </w:rPr>
              <w:t>(b) Base + prepay 55% + ABS 50%, 11%</w:t>
            </w:r>
          </w:p>
        </w:tc>
        <w:tc>
          <w:tcPr>
            <w:tcW w:type="dxa" w:w="1752"/>
          </w:tcPr>
          <w:p>
            <w:r>
              <w:rPr>
                <w:b w:val="0"/>
                <w:sz w:val="16"/>
              </w:rPr>
              <w:t>24.4</w:t>
            </w:r>
          </w:p>
        </w:tc>
        <w:tc>
          <w:tcPr>
            <w:tcW w:type="dxa" w:w="1752"/>
          </w:tcPr>
          <w:p>
            <w:r>
              <w:rPr>
                <w:b w:val="0"/>
                <w:sz w:val="16"/>
              </w:rPr>
              <w:t>24.7</w:t>
            </w:r>
          </w:p>
        </w:tc>
        <w:tc>
          <w:tcPr>
            <w:tcW w:type="dxa" w:w="1752"/>
          </w:tcPr>
          <w:p>
            <w:r>
              <w:rPr>
                <w:b w:val="0"/>
                <w:sz w:val="16"/>
              </w:rPr>
              <w:t>1.52x</w:t>
            </w:r>
          </w:p>
        </w:tc>
        <w:tc>
          <w:tcPr>
            <w:tcW w:type="dxa" w:w="1752"/>
          </w:tcPr>
          <w:p>
            <w:r>
              <w:rPr>
                <w:b w:val="0"/>
                <w:sz w:val="16"/>
              </w:rPr>
              <w:t>74.4</w:t>
            </w:r>
          </w:p>
        </w:tc>
        <w:tc>
          <w:tcPr>
            <w:tcW w:type="dxa" w:w="1752"/>
          </w:tcPr>
          <w:p>
            <w:r>
              <w:rPr>
                <w:b w:val="0"/>
                <w:sz w:val="16"/>
              </w:rPr>
              <w:t>91M - within</w:t>
            </w:r>
          </w:p>
        </w:tc>
      </w:tr>
      <w:tr>
        <w:tc>
          <w:tcPr>
            <w:tcW w:type="dxa" w:w="1752"/>
          </w:tcPr>
          <w:p>
            <w:r>
              <w:rPr>
                <w:b w:val="0"/>
                <w:sz w:val="16"/>
              </w:rPr>
              <w:t>(c) 9% WACC + prepay 55% + ABS 50%</w:t>
            </w:r>
          </w:p>
        </w:tc>
        <w:tc>
          <w:tcPr>
            <w:tcW w:type="dxa" w:w="1752"/>
          </w:tcPr>
          <w:p>
            <w:r>
              <w:rPr>
                <w:b w:val="0"/>
                <w:sz w:val="16"/>
              </w:rPr>
              <w:t>20.6</w:t>
            </w:r>
          </w:p>
        </w:tc>
        <w:tc>
          <w:tcPr>
            <w:tcW w:type="dxa" w:w="1752"/>
          </w:tcPr>
          <w:p>
            <w:r>
              <w:rPr>
                <w:b w:val="0"/>
                <w:sz w:val="16"/>
              </w:rPr>
              <w:t>20.8</w:t>
            </w:r>
          </w:p>
        </w:tc>
        <w:tc>
          <w:tcPr>
            <w:tcW w:type="dxa" w:w="1752"/>
          </w:tcPr>
          <w:p>
            <w:r>
              <w:rPr>
                <w:b w:val="0"/>
                <w:sz w:val="16"/>
              </w:rPr>
              <w:t>1.28x</w:t>
            </w:r>
          </w:p>
        </w:tc>
        <w:tc>
          <w:tcPr>
            <w:tcW w:type="dxa" w:w="1752"/>
          </w:tcPr>
          <w:p>
            <w:r>
              <w:rPr>
                <w:b w:val="0"/>
                <w:sz w:val="16"/>
              </w:rPr>
              <w:t>74.4</w:t>
            </w:r>
          </w:p>
        </w:tc>
        <w:tc>
          <w:tcPr>
            <w:tcW w:type="dxa" w:w="1752"/>
          </w:tcPr>
          <w:p>
            <w:r>
              <w:rPr>
                <w:b w:val="0"/>
                <w:sz w:val="16"/>
              </w:rPr>
              <w:t>108M - within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</w:rPr>
        <w:t>Benchmarks ($M revenue per IT MW-yr)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6"/>
              </w:rPr>
              <w:t>Benchmark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$M/MW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Consensus FY27 $12.3B / avg billing IT MW (475)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25.9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Derived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 xml:space="preserve">  alt: / simple avg YE26 ~302 &amp; YE27 ~1,082 energized (692)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17.8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Derived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Consensus FY28 $23.0B / avg billing IT MW (1,164)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19.8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Derived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 xml:space="preserve">  alt: / simple avg YE27 ~1,082 &amp; YE28 ~1,653 energized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16.8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Derived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Nebius 2026 base ACV (Q2'26 letter)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~12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Reported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Microsoft-style big block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14.5-16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Reported/Derived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Q2'26 / IREN 3-yr deals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20-22.5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Reported/Derived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Anthropic-Nscale owned Rubin (460 IT MW, 6-yr)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16.2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Reported/Derived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 w:val="0"/>
        </w:rPr>
        <w:t>Consensus revenue/MW is all revenue / IT MW and blends signed $14.5-16M blocks, so on the billing-MW basis the Street already underwrites new deals at or above the solved $20-25M - well above every owned/long-term print.</w:t>
      </w:r>
    </w:p>
    <w:p>
      <w:pPr>
        <w:spacing w:after="60"/>
      </w:pPr>
      <w:r>
        <w:rPr>
          <w:b/>
        </w:rPr>
        <w:t>Payback check: management's 22 months is timing/financing, not unit economics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6"/>
              </w:rPr>
              <w:t>$20M rev, 50% margin, $36.8M capex (model, IT; ~$30.6M gross), 55% prepay ($20.2M)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Back-end credit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Even credit (3-yr)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Cash EBITDA yrs 1 / 2 / 3 ($M)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10 / 10 / -10.2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3.3 / 3.3 / 3.3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Cash payback on $16.6M net capital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~20 months (matches mgmt)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~61 months (~5 yrs)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Unit-economics NPV @11% after tax, $20M / $16M ($M per IT MW)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-3.2 / -10.9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-3.2 / -10.9 (identical)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Cash NPV incl. 0% prepayment financing, $20M / $16M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+2.3 / -5.5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+0.6 / -7.1</w:t>
            </w:r>
          </w:p>
        </w:tc>
      </w:tr>
    </w:tbl>
    <w:p>
      <w:pPr>
        <w:spacing w:after="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6"/>
              </w:rPr>
              <w:t>No-prepay capex for 22 months = 22/12 x rev x margin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$20M rev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$25M rev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50% / 60% / 70% margin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$18.3 / 22.0 / 25.7M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$22.9 / 27.5 / 32.1M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Margin needed at $36.8M IT / $30.6M gross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100% / 84%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80% / 67%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 w:val="0"/>
        </w:rPr>
        <w:t>Peer anchor (Reported): IREN-Microsoft Nov 2025 8-K - 20% of each tranche prepaid before delivery, credited pro rata against fees in months 25-60; years 1-2 bill full run-rate. Same structure gives ~20-month cash payback without cheaper racks (same-buyer/same-chip precedent only). OPEN: Nebius's credit schedule is undisclosed; only $130.8M of Q2'26 revenue came from $4.78B opening deferred revenue (Note 3) - a clue toward back-end credits or not-yet-live capacity. Skeptic's 'net capital $16.6M / $10M EBITDA = ~20 months' only holds if credits are back-ended; prepayment treated as lower capex AND full EBITDA double counts cash. Unit NPV is negative at $16M in every case - the short holds. If 22 months instead requires racks at Filings' $24-32M, that is a separate bear slide.</w:t>
      </w:r>
    </w:p>
    <w:p>
      <w:pPr>
        <w:spacing w:after="60"/>
      </w:pPr>
      <w:r>
        <w:rPr>
          <w:b w:val="0"/>
          <w:sz w:val="15"/>
        </w:rPr>
        <w:t>Sources/status: solved prices are full-model bisection (Derived, v0.8d basis); MW = Capacity v2 IT basis; 2028-30 Rubin growth confirmed ~1,688 owned IT MW in the model (leased +71: CLT1 +25, Bethune +46); leased-Rubin-post-YE27 share is a 0-15% placeholder, default 0%. Provisional - not for distribution.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