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sz w:val="24"/>
        </w:rPr>
        <w:t>NEBIUS (NBIS) - JUDGE SLIDE: what $/MW does $242.81 require?  (model v0.8f, provisional, 5 Oct 2026; all $/MW = revenue per BILLED IT MW-yr)</w:t>
      </w:r>
    </w:p>
    <w:p>
      <w:pPr>
        <w:spacing w:after="60"/>
      </w:pPr>
      <w:r>
        <w:rPr>
          <w:b/>
          <w:color w:val="C00000"/>
          <w:sz w:val="22"/>
        </w:rPr>
        <w:t>The Street's FY27 number implies ~$26M per billed MW, blended, against $14.5-16.2M comps. To justify $243 the market needs $25.0M/MW (base) / $20.6M (9% + prepay + ABS); best owned-Rubin print is $16.2M.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6"/>
              </w:rPr>
              <w:t>Like-for-like (per billed IT MW-yr)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$M/MW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Solved for self-consistent PT $242.81 - (a) base, 11% WACC (Rubin $25.3M)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Derived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Solved - (b) base + prepay 55% + ABS 50%, 11% (Rubin $24.7M)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24.4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Derived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Solved - (c) 9% WACC + prepay 55% + ABS 50% (Rubin $20.8M)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20.6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Derived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Street: consensus FY27 $12.3B / ~475 avg billing IT MW (blended)1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25.9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Derived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Comps: Microsoft-style big block / Anthropic-Nscale owned Rubin (460 IT MW, 6-yr)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14.5-16.2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Reported/Derived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Comps: Q2'26 / IREN 3-yr deals (roll to ~$16.5M 5-yr rate)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20-22.5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Reported/Derived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 w:val="0"/>
          <w:sz w:val="16"/>
        </w:rPr>
        <w:t>1 Blend (Capacity, Derived, low-medium): Vineland is ~187 of the ~475 FY27 avg billing MW (T1-T4 ~107 MW all year at $14.5M = $1.55B; T5-T9 $1,159.5M = ~80 MW). The remaining ~$9.6B on ~288 MW = ~$33M per billed MW outside Vineland, and Hopper/self-serve (~96 MW) bills lower - the non-Microsoft MW must clear ~$30M+. Depends on ~475 MW holding and consensus being almost all AI cloud; a Bloom slip (Case B) makes it worse.</w:t>
      </w:r>
    </w:p>
    <w:p>
      <w:pPr>
        <w:spacing w:after="60"/>
      </w:pPr>
      <w:r>
        <w:rPr>
          <w:b w:val="0"/>
          <w:sz w:val="16"/>
        </w:rPr>
        <w:t>Self-consistent basis: new shares issued at today's value, convert coupons charged; GB300 and Rubin moved together (Rubin 1.25% above GB300); signed Microsoft/Meta blocks unchanged.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  <w:sz w:val="16"/>
              </w:rPr>
              <w:t>Case</w:t>
            </w:r>
          </w:p>
        </w:tc>
        <w:tc>
          <w:tcPr>
            <w:tcW w:type="dxa" w:w="2628"/>
          </w:tcPr>
          <w:p>
            <w:r>
              <w:rPr>
                <w:b/>
                <w:sz w:val="16"/>
              </w:rPr>
              <w:t>Shares needed</w:t>
            </w:r>
          </w:p>
        </w:tc>
        <w:tc>
          <w:tcPr>
            <w:tcW w:type="dxa" w:w="2628"/>
          </w:tcPr>
          <w:p>
            <w:r>
              <w:rPr>
                <w:b/>
                <w:sz w:val="16"/>
              </w:rPr>
              <w:t>vs ~94M authority (default)</w:t>
            </w:r>
          </w:p>
        </w:tc>
        <w:tc>
          <w:tcPr>
            <w:tcW w:type="dxa" w:w="2628"/>
          </w:tcPr>
          <w:p>
            <w:r>
              <w:rPr>
                <w:b/>
                <w:sz w:val="16"/>
              </w:rPr>
              <w:t>vs ~114.6M (no warrant deduction)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sz w:val="16"/>
              </w:rPr>
              <w:t>(a) base</w:t>
            </w:r>
          </w:p>
        </w:tc>
        <w:tc>
          <w:tcPr>
            <w:tcW w:type="dxa" w:w="2628"/>
          </w:tcPr>
          <w:p>
            <w:r>
              <w:rPr>
                <w:b w:val="0"/>
                <w:sz w:val="16"/>
              </w:rPr>
              <w:t>208M</w:t>
            </w:r>
          </w:p>
        </w:tc>
        <w:tc>
          <w:tcPr>
            <w:tcW w:type="dxa" w:w="2628"/>
          </w:tcPr>
          <w:p>
            <w:r>
              <w:rPr>
                <w:b w:val="0"/>
                <w:sz w:val="16"/>
              </w:rPr>
              <w:t>exceeds - constraint</w:t>
            </w:r>
          </w:p>
        </w:tc>
        <w:tc>
          <w:tcPr>
            <w:tcW w:type="dxa" w:w="2628"/>
          </w:tcPr>
          <w:p>
            <w:r>
              <w:rPr>
                <w:b w:val="0"/>
                <w:sz w:val="16"/>
              </w:rPr>
              <w:t>exceeds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sz w:val="16"/>
              </w:rPr>
              <w:t>(b) + prepay + ABS</w:t>
            </w:r>
          </w:p>
        </w:tc>
        <w:tc>
          <w:tcPr>
            <w:tcW w:type="dxa" w:w="2628"/>
          </w:tcPr>
          <w:p>
            <w:r>
              <w:rPr>
                <w:b w:val="0"/>
                <w:sz w:val="16"/>
              </w:rPr>
              <w:t>91M</w:t>
            </w:r>
          </w:p>
        </w:tc>
        <w:tc>
          <w:tcPr>
            <w:tcW w:type="dxa" w:w="2628"/>
          </w:tcPr>
          <w:p>
            <w:r>
              <w:rPr>
                <w:b w:val="0"/>
                <w:sz w:val="16"/>
              </w:rPr>
              <w:t>within</w:t>
            </w:r>
          </w:p>
        </w:tc>
        <w:tc>
          <w:tcPr>
            <w:tcW w:type="dxa" w:w="2628"/>
          </w:tcPr>
          <w:p>
            <w:r>
              <w:rPr>
                <w:b w:val="0"/>
                <w:sz w:val="16"/>
              </w:rPr>
              <w:t>within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  <w:sz w:val="16"/>
              </w:rPr>
              <w:t>(c) 9% + prepay + ABS</w:t>
            </w:r>
          </w:p>
        </w:tc>
        <w:tc>
          <w:tcPr>
            <w:tcW w:type="dxa" w:w="2628"/>
          </w:tcPr>
          <w:p>
            <w:r>
              <w:rPr>
                <w:b w:val="0"/>
                <w:sz w:val="16"/>
              </w:rPr>
              <w:t>108M</w:t>
            </w:r>
          </w:p>
        </w:tc>
        <w:tc>
          <w:tcPr>
            <w:tcW w:type="dxa" w:w="2628"/>
          </w:tcPr>
          <w:p>
            <w:r>
              <w:rPr>
                <w:b w:val="0"/>
                <w:sz w:val="16"/>
              </w:rPr>
              <w:t>exceeds - constraint</w:t>
            </w:r>
          </w:p>
        </w:tc>
        <w:tc>
          <w:tcPr>
            <w:tcW w:type="dxa" w:w="2628"/>
          </w:tcPr>
          <w:p>
            <w:r>
              <w:rPr>
                <w:b w:val="0"/>
                <w:sz w:val="16"/>
              </w:rPr>
              <w:t>within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 w:val="0"/>
          <w:sz w:val="16"/>
        </w:rPr>
        <w:t>Authority (Filings, Reported/Derived): 64.4M pool (20% of 322.0M issued ex-Class C; AGM items 13-14, 8/25) + 50.2M treasury (288.6M issued - 238.4M outstanding at 6/30) = ~114.6M without a vote; ~94M if NVIDIA's 21.1M pre-funded warrant (not disclosed as exercised) sits against treasury/authorized - default.</w:t>
      </w:r>
    </w:p>
    <w:p>
      <w:pPr>
        <w:spacing w:after="60"/>
      </w:pPr>
      <w:r>
        <w:rPr>
          <w:b/>
        </w:rPr>
        <w:t>Unit NPV on one 5-year view (model unit inputs: leased GB300 $38.4M incl. lease prepay, $4.5M opex, 21% corporate, after tax, 15% GPU residual at yr 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6"/>
              </w:rPr>
              <w:t>$M per IT MW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WACC 10%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WACC 11%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(i) 3-yr at $20M, renewing at $16.5M yrs 4-5, 15% residual yr 5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+0.9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-0.1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(ii) flat 5-yr at $16.5M, 15% residual yr 5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-4.2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-5.1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Stand-alone unit breakeven, flat 5-yr, 15% residual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$18.4M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$18.9M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Full-model breakeven (build PT = stop PT; incl. funding/dilution)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$16.3M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$16.9M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Memo: 3-yr $20M, no renewal, GPUs sold yr 3 at 15%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-9.4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-9.9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 w:val="0"/>
          <w:sz w:val="16"/>
        </w:rPr>
        <w:t>(i) is ~NPV-zero: the year 1-3 premium pays for the weak renewal years. (ii) flat $16.5M sits at the full-model breakeven ($16.3-16.9M) but below the stand-alone unit breakeven, which excludes the funding and fleet effects. The earlier -$3.2M / -$10.9M figures were also 5-yr views (3-yr $20M + $16.5M; flat $16M) on a harsher cluster-cost basis ($10M/yr fixed cost) - memo only.</w:t>
      </w:r>
    </w:p>
    <w:p>
      <w:pPr>
        <w:spacing w:after="60"/>
      </w:pPr>
      <w:r>
        <w:rPr>
          <w:b/>
        </w:rPr>
        <w:t>Payback: management's 22 months is timing/financing, not unit economics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6"/>
              </w:rPr>
              <w:t>$20M rev, 50% margin, $36.8M capex, 55% prepay ($20.2M) credited against billings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Back-end credit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Even credit (3-yr)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Cash EBITDA yrs 1 / 2 / 3 ($M)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10 / 10 / -10.2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3.3 / 3.3 / 3.3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Cash payback on $16.6M net capital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~20 months (matches mgmt)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~61 months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 w:val="0"/>
          <w:sz w:val="16"/>
        </w:rPr>
        <w:t>IREN-Microsoft Nov 2025 8-K (Reported): 20% prepaid, credited pro rata in months 25-60; years 1-2 bill full run-rate - same-buyer/same-chip precedent only. Nebius's schedule is undisclosed (OPEN: only $130.8M of Q2'26 revenue came from $4.78B opening deferred, Note 3). Without prepayment, 22 months needs capex of ~$18-32M/IT MW (racks at Filings' $24-32M = separate bear slide). Unit NPV is identical in both credit cases and negative at $16M - the short holds.</w:t>
      </w:r>
    </w:p>
    <w:p>
      <w:pPr>
        <w:spacing w:after="60"/>
      </w:pPr>
      <w:r>
        <w:rPr>
          <w:b w:val="0"/>
          <w:sz w:val="15"/>
        </w:rPr>
        <w:t>Sources/status: solved prices = full-model bisection (Derived, v0.8d basis); MW = Capacity v2 IT, billing basis (1-qtr lag). Provisional - not for distribution.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