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24"/>
        </w:rPr>
        <w:t>NEBIUS (NBIS) - JUDGE SLIDE: what does $242.81 require?  (model v0.8g, provisional, 5 Oct 2026; $/MW = revenue per BILLED IT MW-yr)</w:t>
      </w:r>
    </w:p>
    <w:p>
      <w:pPr>
        <w:spacing w:after="60"/>
      </w:pPr>
      <w:r>
        <w:rPr>
          <w:b/>
          <w:color w:val="C00000"/>
          <w:sz w:val="20"/>
        </w:rPr>
        <w:t>1) PRICE: The Street's FY27 number implies ~$26M per billed MW, blended, vs $14.5-16.2M comps; the non-Microsoft MW must clear ~$30M+ (Vineland is ~187 of ~475 avg billing MW). To justify $243 the market needs $25.0M/MW (base) / $20.6M (9% + prepay + ABS); best owned-Rubin print is $16.2M.</w:t>
      </w:r>
    </w:p>
    <w:p>
      <w:pPr>
        <w:spacing w:after="60"/>
      </w:pPr>
      <w:r>
        <w:rPr>
          <w:b/>
          <w:color w:val="1F4E79"/>
          <w:sz w:val="20"/>
        </w:rPr>
        <w:t>2) MW: Or, at $16M comps, FY27 consensus needs ~770 average billing MW ($12.3B / $16M) - above Capacity's high-case path (~645 avg billing MW in FY27, same basis as the ~475 base).</w:t>
      </w:r>
    </w:p>
    <w:p>
      <w:pPr>
        <w:spacing w:after="60"/>
      </w:pPr>
      <w:r>
        <w:rPr>
          <w:b/>
          <w:color w:val="1F4E79"/>
          <w:sz w:val="20"/>
        </w:rPr>
        <w:t>3) DATED TEST (Q3'26 print ~Nov 10): the YE26 run-rate guide of $7-9B (Dec AI cloud x 12, reaffirmed 8/12) needs ~$27-35M per billed MW on Capacity base (~258 MW at YE26), ~$25-32M on the high path (~284). June: $3.0B on ~183-193 MW = ~$15.5-16.4M (ceiling). If Q3 prints near $16M per billing MW (run-rate / ~220-250 MW) with the guide standing, even $7B needs ~180 MW more billing by December or a ~40-50% short-term share vs the ~5% evidence base (one signed &gt;$40M deal).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  <w:sz w:val="16"/>
              </w:rPr>
              <w:t>Solved for self-consistent PT $242.81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GB300 $M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Rubin $M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Shares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vs ~94M / ~114.6M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(a) Base, 11% WACC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25.3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208M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exceeds / exceeds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(b) Base + prepay 55% + ABS 50%, 11%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24.4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24.7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91M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within / within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(c) 9% WACC + prepay 55% + ABS 50%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20.6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20.8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108M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exceeds / within</w:t>
            </w:r>
          </w:p>
        </w:tc>
      </w:tr>
    </w:tbl>
    <w:p>
      <w:pPr>
        <w:spacing w:after="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  <w:t>Like-for-like ($M per billed IT MW-yr)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$M/MW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Street: FY27 consensus $12.3B / ~475 avg billing MW (blended)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25.9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Derived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 xml:space="preserve">  of which outside Vineland: ~$9.6B / ~288 MW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~33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Derived (low-med)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Comps: Microsoft-style / Anthropic-Nscale owned Rubin (460 IT MW, 6-yr)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14.5-16.2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Reported/Derived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Comps: Q2'26 / IREN 3-yr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20-22.5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Reported/Derived</w:t>
            </w:r>
          </w:p>
        </w:tc>
      </w:tr>
    </w:tbl>
    <w:p>
      <w:pPr>
        <w:spacing w:after="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6"/>
              </w:rPr>
              <w:t>FY27 average billing IT MW (quarter-average)</w:t>
            </w:r>
          </w:p>
        </w:tc>
        <w:tc>
          <w:tcPr>
            <w:tcW w:type="dxa" w:w="5256"/>
          </w:tcPr>
          <w:p>
            <w:r>
              <w:rPr>
                <w:b/>
                <w:sz w:val="16"/>
              </w:rPr>
              <w:t>MW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sz w:val="16"/>
              </w:rPr>
              <w:t>Needed at $16M ($12.3B / $16M)</w:t>
            </w:r>
          </w:p>
        </w:tc>
        <w:tc>
          <w:tcPr>
            <w:tcW w:type="dxa" w:w="5256"/>
          </w:tcPr>
          <w:p>
            <w:r>
              <w:rPr>
                <w:b w:val="0"/>
                <w:sz w:val="16"/>
              </w:rPr>
              <w:t>769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sz w:val="16"/>
              </w:rPr>
              <w:t>Capacity v2 base path</w:t>
            </w:r>
          </w:p>
        </w:tc>
        <w:tc>
          <w:tcPr>
            <w:tcW w:type="dxa" w:w="5256"/>
          </w:tcPr>
          <w:p>
            <w:r>
              <w:rPr>
                <w:b w:val="0"/>
                <w:sz w:val="16"/>
              </w:rPr>
              <w:t>475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sz w:val="16"/>
              </w:rPr>
              <w:t>Capacity v2 high path</w:t>
            </w:r>
          </w:p>
        </w:tc>
        <w:tc>
          <w:tcPr>
            <w:tcW w:type="dxa" w:w="5256"/>
          </w:tcPr>
          <w:p>
            <w:r>
              <w:rPr>
                <w:b w:val="0"/>
                <w:sz w:val="16"/>
              </w:rPr>
              <w:t>645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sz w:val="15"/>
        </w:rPr>
        <w:t>MW method: Capacity v2 high energized IT path (YE26 414.0, YE27 1,369.2) lagged 1 qtr to billing: FY27 high-path avg billing ~645 MW; YE26 high-path billing ~284 MW. Blend footnote: Vineland T1-T4 ~107 MW x $14.5M = $1.55B, T5-T9 $1,159.5M = ~80 MW; Hopper/self-serve (~96 MW) bills lower, so new GB300 must clear more; depends on ~475 MW holding; a Bloom slip makes it worse. AI cloud ~98% of group revenue, so consensus ~ AI cloud.</w:t>
      </w:r>
    </w:p>
    <w:p>
      <w:pPr>
        <w:spacing w:after="60"/>
      </w:pPr>
      <w:r>
        <w:rPr>
          <w:b/>
          <w:sz w:val="18"/>
        </w:rPr>
        <w:t>Unit NPV, one 5-year view (leased GB300: $38.4M incl. lease prepay, $4.5M opex, 21% corporate, after tax, 15% GPU residual at yr 5; $M per IT MW)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WACC 10%</w:t>
            </w:r>
          </w:p>
        </w:tc>
        <w:tc>
          <w:tcPr>
            <w:tcW w:type="dxa" w:w="3504"/>
          </w:tcPr>
          <w:p>
            <w:r>
              <w:rPr>
                <w:b/>
                <w:sz w:val="16"/>
              </w:rPr>
              <w:t>WACC 11%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(i) 3-yr at $20M, renewing at $16.5M yrs 4-5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+0.9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-0.1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(ii) flat 5-yr at $16.5M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-4.2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-5.1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Stand-alone unit breakeven (flat 5-yr) / full-model breakeven (build PT = stop PT)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$18.4M / $16.3M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$18.9M / $16.9M</w:t>
            </w:r>
          </w:p>
        </w:tc>
      </w:tr>
      <w:tr>
        <w:tc>
          <w:tcPr>
            <w:tcW w:type="dxa" w:w="3504"/>
          </w:tcPr>
          <w:p>
            <w:r>
              <w:rPr>
                <w:b w:val="0"/>
                <w:sz w:val="16"/>
              </w:rPr>
              <w:t>Memo: 3-yr $20M, no renewal, GPUs sold yr 3 at 15%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-9.4</w:t>
            </w:r>
          </w:p>
        </w:tc>
        <w:tc>
          <w:tcPr>
            <w:tcW w:type="dxa" w:w="3504"/>
          </w:tcPr>
          <w:p>
            <w:r>
              <w:rPr>
                <w:b w:val="0"/>
                <w:sz w:val="16"/>
              </w:rPr>
              <w:t>-9.9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sz w:val="15"/>
        </w:rPr>
        <w:t>Payback: management's 22 months = timing/financing. 55% prepay credited at the back end (IREN-Microsoft 8-K pattern: credits in months 25-60) gives ~20 months on $36.8M racks; credited evenly over a 3-yr term ~61 months. Unit NPV is the same either way and negative at $16M. Authority (Filings): ~94M default (64.4M pool + 50.2M treasury - 21.1M NVIDIA warrant), ~114.6M without the warrant deduction. Provisional - not for distribution.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