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NBIS – Judge Slide v0.9d (provisional, SHORT)</w:t>
      </w:r>
    </w:p>
    <w:p>
      <w:r>
        <w:t>Headline unchanged: SHORT. BUILD plan EV −$0.9B vs $56.3B funding need; self-consistent PT $0; stop-building ~$9.86. PT shares = Filings FD 358.3M (6/30) [D]; unsold ATM not in FD. All $/MW = revenue per billed IT MW-yr. Tags: R reported · D derived · E estimated.</w:t>
      </w:r>
    </w:p>
    <w:p>
      <w:r>
        <w:rPr>
          <w:b/>
          <w:color w:val="1F4E79"/>
        </w:rPr>
        <w:t>1) PRICE: The Street's FY27 number implies ~$26M per billed MW, blended, vs $14.5–16.2M comps; the non-Microsoft MW must clear ~$30M+ (Vineland is ~187 of ~475 avg billing MW). To justify $243 the market needs $24.7M/MW (base) / $20.4M (9% + prepay + ABS) on FD 358.3M; best owned-Rubin print is $16.2M. [D]</w:t>
      </w:r>
      <w:r>
        <w:rPr>
          <w:b/>
          <w:color w:val="1F4E79"/>
          <w:vertAlign w:val="superscript"/>
        </w:rPr>
        <w:t>†</w:t>
      </w:r>
    </w:p>
    <w:p>
      <w:r>
        <w:rPr>
          <w:b/>
          <w:color w:val="1F4E79"/>
        </w:rPr>
        <w:t>2) MW: Or, at $16M comps, FY27 consensus needs ~770 average billing MW ($12.3B / $16M), above Capacity's HIGH path (~645 avg billing MW FY27; base ~475). [D]</w:t>
      </w:r>
    </w:p>
    <w:p>
      <w:r>
        <w:rPr>
          <w:b/>
          <w:color w:val="1F4E79"/>
        </w:rPr>
        <w:t>3) DATED TEST (~Nov 10, Q3'26): the YE26 run-rate guide $7–9B needs ~$27–35M per billed MW on the base build path (~258 MW) and ~$25–32M on high (~284). June: $3.0B on ~183–193 MW = ~$15.5–16.4M. At ~$16M the $7B low end needs ~180 MW more billing by December than base (~150 vs high), or a ~40–50% short-term share vs ~5% evidence. [R/D]</w:t>
      </w:r>
    </w:p>
    <w:p>
      <w:r>
        <w:rPr>
          <w:b/>
          <w:color w:val="1F4E79"/>
        </w:rPr>
        <w:t>4) PEERS: Street also covers peers at $11–18M per billed MW; Nebius Street is ~$26M. [E/D]</w:t>
      </w:r>
    </w:p>
    <w:p>
      <w:pPr>
        <w:pStyle w:val="Heading2"/>
      </w:pPr>
      <w:r>
        <w:t>Footnotes – line 4</w:t>
      </w:r>
    </w:p>
    <w:p>
      <w:pPr>
        <w:pStyle w:val="ListBullet"/>
      </w:pPr>
      <w:r>
        <w:t>CRWV $11.3M (Street FY27 $26.26B / ~2,325 avg active MW; $13.5M on low-MW path 1,950), ramp-diluted. [E]</w:t>
      </w:r>
    </w:p>
    <w:p>
      <w:pPr>
        <w:pStyle w:val="ListBullet"/>
      </w:pPr>
      <w:r>
        <w:t>IREN $13.3M (YE26 ARR $4B / 300 IT MW) [R]; ~$18.2M FY27 recognized proxy ($10B / 550 MW) [E/D].</w:t>
      </w:r>
    </w:p>
    <w:p>
      <w:pPr>
        <w:pStyle w:val="ListBullet"/>
      </w:pPr>
      <w:r>
        <w:t>OCI $14.4M (FQ1'27 Cloud Infra annualized $29.6B / ~2,050 cum. AI MW; gross MW, non-AI mix). [D/E]</w:t>
      </w:r>
    </w:p>
    <w:p>
      <w:pPr>
        <w:pStyle w:val="ListBullet"/>
      </w:pPr>
      <w:r>
        <w:t>No structural premium: deal prints $14.5–16.2M and $20–22.5M; TF ~1–4%; short-term ~5%. [R/D]</w:t>
      </w:r>
      <w:r>
        <w:rPr>
          <w:b/>
          <w:vertAlign w:val="superscript"/>
        </w:rPr>
        <w:t>†</w:t>
      </w:r>
    </w:p>
    <w:p>
      <w:pPr>
        <w:pStyle w:val="Heading2"/>
      </w:pPr>
      <w:r>
        <w:t>RPO flag</w:t>
      </w:r>
    </w:p>
    <w:p>
      <w:r>
        <w:t>Q2 GAAP RPO $37.5B [R] (36% within 24m; no ≤12m split). ~55–61% of Street FY27 $12.3B signed as of 6/30 → ~$4.8–5.6B (~$5B) unsigned [E]: needs new deals + MW not already in Capacity existing-contract billing. Mgmt '~$40B' not reconciled to GAAP RPO.</w:t>
      </w:r>
    </w:p>
    <w:p>
      <w:pPr>
        <w:pStyle w:val="Heading2"/>
      </w:pPr>
      <w:r>
        <w:t>Both readings – YE26 $7–9B (build path)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$7B</w:t>
            </w:r>
          </w:p>
        </w:tc>
        <w:tc>
          <w:tcPr>
            <w:tcW w:type="dxa" w:w="2880"/>
          </w:tcPr>
          <w:p>
            <w:r>
              <w:t>$9B</w:t>
            </w:r>
          </w:p>
        </w:tc>
      </w:tr>
      <w:tr>
        <w:tc>
          <w:tcPr>
            <w:tcW w:type="dxa" w:w="2880"/>
          </w:tcPr>
          <w:p>
            <w:r>
              <w:t>PRICE: $M/billed MW, base build path 257.7 MW</w:t>
            </w:r>
          </w:p>
        </w:tc>
        <w:tc>
          <w:tcPr>
            <w:tcW w:type="dxa" w:w="2880"/>
          </w:tcPr>
          <w:p>
            <w:r>
              <w:t>27.2</w:t>
            </w:r>
          </w:p>
        </w:tc>
        <w:tc>
          <w:tcPr>
            <w:tcW w:type="dxa" w:w="2880"/>
          </w:tcPr>
          <w:p>
            <w:r>
              <w:t>34.9</w:t>
            </w:r>
          </w:p>
        </w:tc>
      </w:tr>
      <w:tr>
        <w:tc>
          <w:tcPr>
            <w:tcW w:type="dxa" w:w="2880"/>
          </w:tcPr>
          <w:p>
            <w:r>
              <w:t>PRICE: $M/billed MW, high 284.2 MW</w:t>
            </w:r>
          </w:p>
        </w:tc>
        <w:tc>
          <w:tcPr>
            <w:tcW w:type="dxa" w:w="2880"/>
          </w:tcPr>
          <w:p>
            <w:r>
              <w:t>24.6</w:t>
            </w:r>
          </w:p>
        </w:tc>
        <w:tc>
          <w:tcPr>
            <w:tcW w:type="dxa" w:w="2880"/>
          </w:tcPr>
          <w:p>
            <w:r>
              <w:t>31.7</w:t>
            </w:r>
          </w:p>
        </w:tc>
      </w:tr>
      <w:tr>
        <w:tc>
          <w:tcPr>
            <w:tcW w:type="dxa" w:w="2880"/>
          </w:tcPr>
          <w:p>
            <w:r>
              <w:t>MW: billing MW needed at $16M</w:t>
            </w:r>
          </w:p>
        </w:tc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563</w:t>
            </w:r>
          </w:p>
        </w:tc>
      </w:tr>
      <w:tr>
        <w:tc>
          <w:tcPr>
            <w:tcW w:type="dxa" w:w="2880"/>
          </w:tcPr>
          <w:p>
            <w:r>
              <w:t xml:space="preserve">  extra MW vs base 257.7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305</w:t>
            </w:r>
          </w:p>
        </w:tc>
      </w:tr>
    </w:tbl>
    <w:p>
      <w:r>
        <w:t>Billing lock unchanged: base 257.7 YE26 / 475 FY27 avg; high 284.2 / 645. [D, Capacity] Slide band (Peer KPIs fix): $27.2M ($7B on base 257.7) to $31.7M ($9B on high 284.2) — inside $25–32M; $34.9M bar no longer charted; still ~2× the hyperscaler 5–6 yr band $9.7–16.2M†.</w:t>
      </w:r>
    </w:p>
    <w:p>
      <w:pPr>
        <w:pStyle w:val="Heading2"/>
      </w:pPr>
      <w:r>
        <w:t>Payback (Payback_Recon – locked two lines + unit NPV)</w:t>
      </w:r>
    </w:p>
    <w:p>
      <w:pPr>
        <w:pStyle w:val="ListBullet"/>
      </w:pPr>
      <w:r>
        <w:t>Line A – Deferred recognition [R/D]: 6/30/26 deferred $5,975.2M; current $979.4M (16%); Q2 release $130.8M = 2.7% of opening. Recognition delivery-linked over 1–5 yrs. Read: Q2 release ≈ even credit from go-live on delivered MW (Vineland T1–T4 ~107 IT MW; GPU Market 22.5% of Q2 rev check). NOT evidence for back-loaded cash credit.</w:t>
      </w:r>
    </w:p>
    <w:p>
      <w:pPr>
        <w:pStyle w:val="ListBullet"/>
      </w:pPr>
      <w:r>
        <w:t>Line B – Cash-credit timing [E, assumption only]: (i) back-end credit → ~20–22 mo payback (model 19.9 mo; IREN peer analogy ONLY); (ii) even credit over 3 yrs → ~5 yrs (61 mo). Cash-credit timing alone drives the 22-mo vs 5-yr comparison.</w:t>
      </w:r>
    </w:p>
    <w:p>
      <w:pPr>
        <w:pStyle w:val="ListBullet"/>
      </w:pPr>
      <w:r>
        <w:t>Skeptic revised 22-mo: either (1) net-capex financing definition or (2) racks well below the model's $36.8M per IT MW; schedule undisclosed. Back-load / deferred release NOT used as support.</w:t>
      </w:r>
    </w:p>
    <w:p>
      <w:pPr>
        <w:pStyle w:val="ListBullet"/>
      </w:pPr>
      <w:r>
        <w:t>Line C – Unit NPV (unchanged) [D]: 3-yr $20M renewing $16.5M ≈ 0 (+0.9 / −0.1 at 10/11%); flat $16.5M −$4.2 / −$5.1. Prepay = funding cash once; never lower capex + full EBITDA.</w:t>
      </w:r>
    </w:p>
    <w:p>
      <w:pPr>
        <w:pStyle w:val="ListBullet"/>
      </w:pPr>
      <w:r>
        <w:t>FCF note: on prepaid MW, later-year reported revenue &gt; cash collected.</w:t>
      </w:r>
    </w:p>
    <w:p>
      <w:pPr>
        <w:pStyle w:val="ListBullet"/>
      </w:pPr>
      <w:r>
        <w:t>Ramp-dilution check (memo, not in DCF): factor 1 − 0.52 × new/avg MW → ~9–13% $/MW dip Q4'26–Q1'27 vs Q3'26; base contract prices not cut.</w:t>
      </w:r>
    </w:p>
    <w:p>
      <w:pPr>
        <w:pStyle w:val="Heading2"/>
      </w:pPr>
      <w:r>
        <w:t>Microsoft Vineland</w:t>
      </w:r>
    </w:p>
    <w:p>
      <w:r>
        <w:t>4 of 9 Microsoft tranches live on gensets; T5–T9 wait on Bloom. Letter alone overstates; the call says 'remaining tranches'. T1–T4 = ~107 IT MW revenue-ready on 62 rented gensets (equal-split, E). Case B = timing on T5–T9 only.</w:t>
      </w:r>
    </w:p>
    <w:p>
      <w:pPr>
        <w:pStyle w:val="Heading2"/>
      </w:pPr>
      <w:r>
        <w:t>Provisional drivers (memo)</w:t>
      </w:r>
    </w:p>
    <w:p>
      <w:r>
        <w:t>(1) Realized $ per billed MW vs comps; (2) FY27 average billing MW vs ~769 needed at $16M.</w:t>
      </w:r>
    </w:p>
    <w:p>
      <w:pPr>
        <w:pStyle w:val="Heading2"/>
      </w:pPr>
      <w:r>
        <w:t>Footnote † – $16.2M owned-Rubin print</w:t>
      </w:r>
    </w:p>
    <w:p>
      <w:r>
        <w:rPr>
          <w:sz w:val="18"/>
        </w:rPr>
        <w:t xml:space="preserve">† $16.2M is the owned-hall </w:t>
      </w:r>
      <w:r>
        <w:rPr>
          <w:i/>
          <w:sz w:val="18"/>
        </w:rPr>
        <w:t>contract</w:t>
      </w:r>
      <w:r>
        <w:rPr>
          <w:sz w:val="18"/>
        </w:rPr>
        <w:t xml:space="preserve"> print (Anthropic–Nscale S-1 / ~$44.6B ÷ 6 ÷ ~460 IT MW). Monarch WV campus is civil-only as of late Sep 2026 (graded pads, no hall roofs; air permit draft; Caterpillar microgrid not live; financing not committed) — Grade Yellow for 460 MW by H1'28. Underwrite price from the contract, not from imagery. Source: peers/sites/site_verification.md §7.</w:t>
      </w:r>
    </w:p>
    <w:p>
      <w:pPr>
        <w:pStyle w:val="Heading2"/>
      </w:pPr>
      <w:r>
        <w:t>Long/bull contrast (v0.9d)</w:t>
      </w:r>
    </w:p>
    <w:p>
      <w:r>
        <w:rPr>
          <w:b/>
        </w:rPr>
      </w:r>
      <w:r/>
      <w:r>
        <w:rPr>
          <w:b/>
        </w:rPr>
        <w:t xml:space="preserve">Short stays the default headline. </w:t>
      </w:r>
      <w:r>
        <w:rPr>
          <w:b/>
        </w:rPr>
        <w:t xml:space="preserve">Stack D3 (ALL uncontracted MW at ~$24M + Capacity high MW path; PT ~$273, ~$257 with Butler slip, on FD 358.3M) is a LABELLED SCENARIO, NOT a base case. </w:t>
      </w:r>
      <w:r>
        <w:t>Evidence does not underwrite ~$24M blended: 5–6 yr $9.7–16.2M†; mid-term &gt;$20M thin on MW; ST ~5%; $24M needs ~22–35% ST (4–7×) or multiple signed mid-term ACVs ≥$22–24M with disclosed MW by Q3/Q4. Price is the lever; MW alone leaves PT $0. See long_bull_v09d.docx. [D]</w:t>
      </w:r>
    </w:p>
    <w:p>
      <w:r>
        <w:rPr>
          <w:sz w:val="16"/>
        </w:rPr>
        <w:t>Source: nebius_model.xlsx v0.9d (Judge_Slide, Payback_Recon, Long_Bull). Built 2026-10-05 ET.</w:t>
      </w:r>
    </w:p>
    <w:sectPr w:rsidR="00FC693F" w:rsidRPr="0006063C" w:rsidSect="00034616">
      <w:pgSz w:w="12240" w:h="15840"/>
      <w:pgMar w:top="1296" w:right="1800" w:bottom="122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