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Judge slide v0.9e (provisional) - SHORT headline unchanged</w:t>
      </w:r>
    </w:p>
    <w:p>
      <w:r>
        <w:t>All $/MW = revenue per billed IT MW-yr; Vineland on the billed-tranche basis, linked to the Contracts engine. Spot $237.15 (Oct 7 close) [R]. R/D/E = Reported/Derived/Estimated.</w:t>
      </w:r>
    </w:p>
    <w:p>
      <w:r>
        <w:t>1) PRICE: Strip Microsoft at $14.5M and the non-Microsoft MW must clear ~$27.6M per billed MW [D] (Capacity ~$27.4M; ~$33M on the old basis), against a $9.7–16.7M† disclosed contract band. Only 3-6 month paper clears it (CoreWeave ~$40M [E]; CCIR GB300 6-mo cancellable $50.2M). Blended, the Street's FY27 $12.3B is ~$23.1M per billed MW (~$22.9M on Capacity's 536.5). To justify $237.15 the market needs $24.5M/MW (base) / $20.2M (9% + prepay + ABS) [D]. The long needs most non-Microsoft MW on 3-6 month paper: a re-pricing / utilization bet, not contracted pricing power. Meta: the only print we can derive is ~$11.5M/MW at ~50 MW (D, low); the $12.0B deal has no disclosed MW. Turn-positive points (Judge basis): high $16.70M / base $17.05M; Lambda's $16.67M print is $0 on both paths. Base case PT still $0.</w:t>
      </w:r>
    </w:p>
    <w:p>
      <w:r>
        <w:t>2) MW: At $16M comps, FY27 consensus needs ~769 average billed MW ($12.3B / $16M) vs ~532 base (1.45x, ~237 short) and ~659 high (1.17x, ~110 short), engine-linked [D] (Capacity locked 536.5 / 663.8: 1.43x / 1.16x).</w:t>
      </w:r>
    </w:p>
    <w:p>
      <w:r>
        <w:t>3) DATED TEST: Q3'26 print late Oct-mid Nov (Oct 22 or Nov 10 per third-party calendars; not company-announced). The YE26 run-rate guide $7-9B needs ~$27-35M per billed MW on Capacity base (~258 billing MW at YE26) and ~$25-32M on the high path (~284) vs a June ceiling of ~$15.5-16.4M.</w:t>
      </w:r>
    </w:p>
    <w:p>
      <w:r>
        <w:t>4) PEERS: unchanged from v0.9d (CRWV $11.3M, IREN $13.3M / ~$18.2M proxy, OCI $14.4M); Nebius Street blended now ~$23M on the engine-linked MW.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Line-1 case (solved PT = $237.15)</w:t>
            </w:r>
          </w:p>
        </w:tc>
        <w:tc>
          <w:tcPr>
            <w:tcW w:type="dxa" w:w="1440"/>
          </w:tcPr>
          <w:p>
            <w:r>
              <w:t>GB300 $M</w:t>
            </w:r>
          </w:p>
        </w:tc>
        <w:tc>
          <w:tcPr>
            <w:tcW w:type="dxa" w:w="1440"/>
          </w:tcPr>
          <w:p>
            <w:r>
              <w:t>Rubin $M</w:t>
            </w:r>
          </w:p>
        </w:tc>
        <w:tc>
          <w:tcPr>
            <w:tcW w:type="dxa" w:w="1440"/>
          </w:tcPr>
          <w:p>
            <w:r>
              <w:t>EV $B</w:t>
            </w:r>
          </w:p>
        </w:tc>
        <w:tc>
          <w:tcPr>
            <w:tcW w:type="dxa" w:w="1440"/>
          </w:tcPr>
          <w:p>
            <w:r>
              <w:t>Shares needed vs ~78M / ~97M</w:t>
            </w:r>
          </w:p>
        </w:tc>
        <w:tc>
          <w:tcPr>
            <w:tcW w:type="dxa" w:w="1440"/>
          </w:tcPr>
          <w:p>
            <w:r>
              <w:t>v0.9d at $242.81</w:t>
            </w:r>
          </w:p>
        </w:tc>
      </w:tr>
      <w:tr>
        <w:tc>
          <w:tcPr>
            <w:tcW w:type="dxa" w:w="1440"/>
          </w:tcPr>
          <w:p>
            <w:r>
              <w:t>(a) base, 11% WACC</w:t>
            </w:r>
          </w:p>
        </w:tc>
        <w:tc>
          <w:tcPr>
            <w:tcW w:type="dxa" w:w="1440"/>
          </w:tcPr>
          <w:p>
            <w:r>
              <w:t>24.51</w:t>
            </w:r>
          </w:p>
        </w:tc>
        <w:tc>
          <w:tcPr>
            <w:tcW w:type="dxa" w:w="1440"/>
          </w:tcPr>
          <w:p>
            <w:r>
              <w:t>24.82</w:t>
            </w:r>
          </w:p>
        </w:tc>
        <w:tc>
          <w:tcPr>
            <w:tcW w:type="dxa" w:w="1440"/>
          </w:tcPr>
          <w:p>
            <w:r>
              <w:t>70.90</w:t>
            </w:r>
          </w:p>
        </w:tc>
        <w:tc>
          <w:tcPr>
            <w:tcW w:type="dxa" w:w="1440"/>
          </w:tcPr>
          <w:p>
            <w:r>
              <w:t>215M (~2.2-2.8x)</w:t>
            </w:r>
          </w:p>
        </w:tc>
        <w:tc>
          <w:tcPr>
            <w:tcW w:type="dxa" w:w="1440"/>
          </w:tcPr>
          <w:p>
            <w:r>
              <w:t>$24.7 / $25.1</w:t>
            </w:r>
          </w:p>
        </w:tc>
      </w:tr>
      <w:tr>
        <w:tc>
          <w:tcPr>
            <w:tcW w:type="dxa" w:w="1440"/>
          </w:tcPr>
          <w:p>
            <w:r>
              <w:t>(b) + prepay 55% + ABS 50%</w:t>
            </w:r>
          </w:p>
        </w:tc>
        <w:tc>
          <w:tcPr>
            <w:tcW w:type="dxa" w:w="1440"/>
          </w:tcPr>
          <w:p>
            <w:r>
              <w:t>23.84</w:t>
            </w:r>
          </w:p>
        </w:tc>
        <w:tc>
          <w:tcPr>
            <w:tcW w:type="dxa" w:w="1440"/>
          </w:tcPr>
          <w:p>
            <w:r>
              <w:t>24.14</w:t>
            </w:r>
          </w:p>
        </w:tc>
        <w:tc>
          <w:tcPr>
            <w:tcW w:type="dxa" w:w="1440"/>
          </w:tcPr>
          <w:p>
            <w:r>
              <w:t>70.15</w:t>
            </w:r>
          </w:p>
        </w:tc>
        <w:tc>
          <w:tcPr>
            <w:tcW w:type="dxa" w:w="1440"/>
          </w:tcPr>
          <w:p>
            <w:r>
              <w:t>95M (~1.0-1.2x)</w:t>
            </w:r>
          </w:p>
        </w:tc>
        <w:tc>
          <w:tcPr>
            <w:tcW w:type="dxa" w:w="1440"/>
          </w:tcPr>
          <w:p>
            <w:r>
              <w:t>$24.1 / $24.4</w:t>
            </w:r>
          </w:p>
        </w:tc>
      </w:tr>
      <w:tr>
        <w:tc>
          <w:tcPr>
            <w:tcW w:type="dxa" w:w="1440"/>
          </w:tcPr>
          <w:p>
            <w:r>
              <w:t>(c) 9% + prepay + ABS</w:t>
            </w:r>
          </w:p>
        </w:tc>
        <w:tc>
          <w:tcPr>
            <w:tcW w:type="dxa" w:w="1440"/>
          </w:tcPr>
          <w:p>
            <w:r>
              <w:t>20.19</w:t>
            </w:r>
          </w:p>
        </w:tc>
        <w:tc>
          <w:tcPr>
            <w:tcW w:type="dxa" w:w="1440"/>
          </w:tcPr>
          <w:p>
            <w:r>
              <w:t>20.45</w:t>
            </w:r>
          </w:p>
        </w:tc>
        <w:tc>
          <w:tcPr>
            <w:tcW w:type="dxa" w:w="1440"/>
          </w:tcPr>
          <w:p>
            <w:r>
              <w:t>70.22</w:t>
            </w:r>
          </w:p>
        </w:tc>
        <w:tc>
          <w:tcPr>
            <w:tcW w:type="dxa" w:w="1440"/>
          </w:tcPr>
          <w:p>
            <w:r>
              <w:t>111M (~1.2-1.4x)</w:t>
            </w:r>
          </w:p>
        </w:tc>
        <w:tc>
          <w:tcPr>
            <w:tcW w:type="dxa" w:w="1440"/>
          </w:tcPr>
          <w:p>
            <w:r>
              <w:t>$20.4 / $20.6</w:t>
            </w:r>
          </w:p>
        </w:tc>
      </w:tr>
    </w:tbl>
    <w:p>
      <w:r>
        <w:t>All three solves land in the debt treatment for the Aug-26 notes (PT &lt; $313.46; FD 358.56M); older six notes all ITM at ~$237.</w:t>
      </w:r>
    </w:p>
    <w:p>
      <w:r>
        <w:t>Kept: Monarch † ($16.2M = Anthropic-Nscale owned-hall contract print; Monarch WV civil-only, Grade Yellow), Payback_Recon two-line lock, Butler-slip toggle (FY28, not an FY27 short-killer), D3 = labelled scenario only. COO note if used: COO sold 500k settled RSUs (~$118M) on 10/5 under a pre-set May 10b5-1 plan, ~17% of granted equity.</w:t>
      </w:r>
    </w:p>
    <w:p>
      <w:r>
        <w:t>SHORT remains the default: base PT $0, build EV -$0.9B; no base-case input clears spot.</w:t>
      </w:r>
    </w:p>
    <w:p>
      <w:r>
        <w:rPr>
          <w:i/>
          <w:sz w:val="16"/>
        </w:rPr>
        <w:t>All figures Judge basis (Rubin = 1.0125× GB300). One-price figures retired Oct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