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4"/>
        </w:rPr>
        <w:t>NBIS – What has to be true for LONG (v0.9b, provisional) — contrast to the SHORT judge slide</w:t>
      </w:r>
    </w:p>
    <w:p>
      <w:r>
        <w:t>Headline call unchanged: SHORT. Build plan EV −$0.9B vs $56.3B required funding (equity need Q3'26–Q4'30 ~$41.7B); self-consistent PT $0; stop-building ~$9.65. Long/bull rows are explicit scenario switches only; defaults reproduce v0.9a. Tags: R reported · D derived · E estimated. Self-consistent PT (new shares at today's value, coupons charged).</w:t>
      </w:r>
    </w:p>
    <w:p>
      <w:pPr>
        <w:spacing w:before="80"/>
      </w:pPr>
      <w:r>
        <w:rPr>
          <w:b/>
          <w:color w:val="1F4E79"/>
          <w:sz w:val="20"/>
        </w:rPr>
        <w:t>Scenario grid (full-model recalc, only listed inputs changed) [D]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EV $B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PT $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Equity need $B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SHORT base (default)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−0.9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41.7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short holds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Stop building (ref.)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9.8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9.65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—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A1/A2 GB300 new-deal $22M / $24M (Rubin $16.2M†)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4.9 / 9.0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0.5 / 15.3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38.7 / 37.8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short holds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A3/A4 ALL uncontracted $22M / $24M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47.5 / 64.4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152 / 210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35.8 / 34.0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&lt; spot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B1 Capacity HIGH MW path (FY27 avg 645), base comps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1.7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54.5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short holds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B2 upper bound ~769 avg MW (capex not scaled)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2.7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69.8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short holds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C1/C2 owned Rubin $19.6M / $20M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21.2 / 24.0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58.9 / 68.7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39.7 / 39.4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&lt; spot</w:t>
            </w:r>
          </w:p>
        </w:tc>
      </w:tr>
      <w:tr>
        <w:tc>
          <w:tcPr>
            <w:tcW w:type="dxa" w:w="2102"/>
          </w:tcPr>
          <w:p>
            <w:r>
              <w:rPr>
                <w:b w:val="0"/>
                <w:sz w:val="16"/>
              </w:rPr>
              <w:t>D2 GB300 $24M + Rubin $19.6M + high MW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49.6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148.5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46.9</w:t>
            </w:r>
          </w:p>
        </w:tc>
        <w:tc>
          <w:tcPr>
            <w:tcW w:type="dxa" w:w="2102"/>
          </w:tcPr>
          <w:p>
            <w:r>
              <w:rPr>
                <w:b w:val="0"/>
                <w:sz w:val="16"/>
              </w:rPr>
              <w:t>&lt; spot</w:t>
            </w:r>
          </w:p>
        </w:tc>
      </w:tr>
      <w:tr>
        <w:tc>
          <w:tcPr>
            <w:tcW w:type="dxa" w:w="2102"/>
          </w:tcPr>
          <w:p>
            <w:r>
              <w:rPr>
                <w:b/>
                <w:sz w:val="16"/>
              </w:rPr>
              <w:t>D3 ALL $24M + high MW  (+ Butler slip)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85.5 (80.3)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265 (249)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44.1 (36.3)</w:t>
            </w:r>
          </w:p>
        </w:tc>
        <w:tc>
          <w:tcPr>
            <w:tcW w:type="dxa" w:w="2102"/>
          </w:tcPr>
          <w:p>
            <w:r>
              <w:rPr>
                <w:b/>
                <w:sz w:val="16"/>
              </w:rPr>
              <w:t>LONG ≥ $242.81</w:t>
            </w:r>
          </w:p>
        </w:tc>
      </w:tr>
    </w:tbl>
    <w:p>
      <w:pPr>
        <w:spacing w:before="80"/>
      </w:pPr>
      <w:r>
        <w:rPr>
          <w:b/>
          <w:color w:val="1F4E79"/>
          <w:sz w:val="20"/>
        </w:rPr>
        <w:t>What has to be true for LONG</w:t>
      </w:r>
    </w:p>
    <w:p>
      <w:pPr>
        <w:pStyle w:val="ListBullet"/>
        <w:spacing w:after="20"/>
      </w:pPr>
      <w:r>
        <w:rPr>
          <w:b/>
        </w:rPr>
        <w:t>1) Price, not MW:</w:t>
      </w:r>
      <w:r>
        <w:t xml:space="preserve"> price on the UNCONTRACTED 2028–30 vintages — mostly Rubin — must hold ~$24M/IT MW-yr sustained. GB300-only upside is small (RPO fills 2027 vintages; A1/A2 PT $0.5–15). Rubin ≥$19.6M alone is worth ~$59/sh. Matches Cover: price-only PT = spot at ~$24.4 / $24.7M GB300 / Rubin.</w:t>
      </w:r>
    </w:p>
    <w:p>
      <w:pPr>
        <w:pStyle w:val="ListBullet"/>
        <w:spacing w:after="20"/>
      </w:pPr>
      <w:r>
        <w:rPr>
          <w:b/>
        </w:rPr>
        <w:t>2) Plus the high MW path:</w:t>
      </w:r>
      <w:r>
        <w:t xml:space="preserve"> A4 (all $24M, base MW) PT ~$210 &lt; spot; adding Capacity's HIGH path (D3) is the first stack ≥ $242.81 (~$265; ~$249 with Butler slip).</w:t>
      </w:r>
    </w:p>
    <w:p>
      <w:pPr>
        <w:pStyle w:val="ListBullet"/>
        <w:spacing w:after="20"/>
      </w:pPr>
      <w:r>
        <w:rPr>
          <w:b/>
        </w:rPr>
        <w:t>3) MW alone does not flip it:</w:t>
      </w:r>
      <w:r>
        <w:t xml:space="preserve"> high path at comps leaves PT $0 and lifts equity need to ~$54.5B; even free MW to ~769 (B2) stays $0. YE26 billing ≫ 284.2 helps the long only as evidence of above-comps ACV — test at the Q3 print (~Nov 10): Sept run-rate ÷ ~220–250 billing MW vs $16M and vs the guide band $27.2–31.7M.</w:t>
      </w:r>
    </w:p>
    <w:p>
      <w:pPr>
        <w:pStyle w:val="ListBullet"/>
        <w:spacing w:after="20"/>
      </w:pPr>
      <w:r>
        <w:rPr>
          <w:b/>
        </w:rPr>
        <w:t>4) Funding still binds:</w:t>
      </w:r>
      <w:r>
        <w:t xml:space="preserve"> even D3 needs $36–44B of equity vs no-vote headroom proceeds ~$20.9B net (93.5M sh) / ~$25.6B gross (114.6M) at $223.60 ATM WA = 26% / 32% of FD 358.3M — the long also needs a higher issue price or a new authority. The short does not rest on the governance block. Post-6/30 ATM, warrant exercise, $775M draw: n.d.</w:t>
      </w:r>
    </w:p>
    <w:p>
      <w:pPr>
        <w:pStyle w:val="ListBullet"/>
        <w:spacing w:after="20"/>
      </w:pPr>
      <w:r>
        <w:rPr>
          <w:b/>
        </w:rPr>
        <w:t>5) Butler slip:</w:t>
      </w:r>
      <w:r>
        <w:t xml:space="preserve"> FY28 toggle, not an FY27 short-killer (YE27 Butler 0; FY27 avg 475/645 unchanged; ~19% gap vs ~769 at $16M survives). Costs the bull stacks ~$6–16/sh; on the short base ≈ neutral (base 2028) or EV-positive (low 2028: less sub-breakeven build). Mgmt 260 MW by Oct'27 not underwritten.</w:t>
      </w:r>
    </w:p>
    <w:p>
      <w:pPr>
        <w:spacing w:before="80"/>
      </w:pPr>
      <w:r>
        <w:rPr>
          <w:b/>
          <w:color w:val="1F4E79"/>
          <w:sz w:val="20"/>
        </w:rPr>
        <w:t>Contrast to the SHORT slide</w:t>
      </w:r>
    </w:p>
    <w:p>
      <w:pPr>
        <w:pStyle w:val="ListBullet"/>
        <w:spacing w:after="20"/>
      </w:pPr>
      <w:r>
        <w:rPr>
          <w:b/>
        </w:rPr>
        <w:t>Price:</w:t>
      </w:r>
      <w:r>
        <w:t xml:space="preserve"> hyperscaler 5–6 yr band $9.7 (IREN–MSFT) / $11.7 (Narvik) / ~$13.4 (Nscale) / $14.5 (MSFT–Nebius; GPU-alt $17.1) / $16.2M† (Anthropic–Nscale); mid-term $20–22.5M is a separate row; Street ~$26M and the YE26 guide band $27.2M ($7B / 257.7) – $31.7M ($9B / 284.2) sit ~2× outside it. Long needs ~$24M on ALL uncontracted MW — above every 5–6 yr print.</w:t>
      </w:r>
    </w:p>
    <w:p>
      <w:pPr>
        <w:pStyle w:val="ListBullet"/>
        <w:spacing w:after="20"/>
      </w:pPr>
      <w:r>
        <w:rPr>
          <w:b/>
        </w:rPr>
        <w:t>MW:</w:t>
      </w:r>
      <w:r>
        <w:t xml:space="preserve"> billing lock base 257.7 YE26 / 475 FY27 avg; high 284.2 / 645 (unchanged). Long uses the high path; ~769 is not supported by any wired site path.</w:t>
      </w:r>
    </w:p>
    <w:p>
      <w:pPr>
        <w:pStyle w:val="ListBullet"/>
        <w:spacing w:after="20"/>
      </w:pPr>
      <w:r>
        <w:rPr>
          <w:b/>
        </w:rPr>
        <w:t>Not long evidence:</w:t>
      </w:r>
      <w:r>
        <w:t xml:space="preserve"> rising H200 ($4.85→$5.40) / B200 ($5.50→$8.50) LIST prices = demand signal only, not contract ACV (on-demand ~4% of revenue). No ramp-dilution cut stacked into price (check-only memo). Payback_Recon two-line lock unchanged.</w:t>
      </w:r>
    </w:p>
    <w:p>
      <w:r>
        <w:rPr>
          <w:i/>
          <w:sz w:val="14"/>
        </w:rPr>
        <w:t>† $16.2M = owned-hall CONTRACT print (Anthropic–Nscale S-1 / ~$44.6B ÷ 6 ÷ ~460 IT MW); Monarch WV civil-only late Sep 2026 — Grade Yellow for 460 MW by H1'28; underwrite price from the contract, not imagery. Source: nebius_model.xlsx v0.9b (Long_Bull, Judge_Slide, Inputs 457–459); Filings dilution_scenarios one-pager. Built 2026-10-05 ET.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