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Long / bull case v0.9e (provisional) - what has to be true for LONG</w:t>
      </w:r>
    </w:p>
    <w:p>
      <w:r>
        <w:t>Pass/fail: (1) self-consistent PT &gt;= spot $237.15; (2) building beats stopping only if PT &gt; stop-building $13.21. Basis: v0.9e share/debt convention (each scenario solved under the new-note treatment consistent with its own PT; older notes tested per tranche at that PT; unconverted notes in net debt at accreted value at the PT date).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v0.9d PT $</w:t>
            </w:r>
          </w:p>
        </w:tc>
        <w:tc>
          <w:tcPr>
            <w:tcW w:type="dxa" w:w="1440"/>
          </w:tcPr>
          <w:p>
            <w:r>
              <w:t>v0.9e PT $</w:t>
            </w:r>
          </w:p>
        </w:tc>
        <w:tc>
          <w:tcPr>
            <w:tcW w:type="dxa" w:w="1440"/>
          </w:tcPr>
          <w:p>
            <w:r>
              <w:t>EV $B</w:t>
            </w:r>
          </w:p>
        </w:tc>
        <w:tc>
          <w:tcPr>
            <w:tcW w:type="dxa" w:w="1440"/>
          </w:tcPr>
          <w:p>
            <w:r>
              <w:t>Aug-26 notes</w:t>
            </w:r>
          </w:p>
        </w:tc>
        <w:tc>
          <w:tcPr>
            <w:tcW w:type="dxa" w:w="1440"/>
          </w:tcPr>
          <w:p>
            <w:r>
              <w:t>Shares needed (vs ~78/~97M)</w:t>
            </w:r>
          </w:p>
        </w:tc>
      </w:tr>
      <w:tr>
        <w:tc>
          <w:tcPr>
            <w:tcW w:type="dxa" w:w="1440"/>
          </w:tcPr>
          <w:p>
            <w:r>
              <w:t>Short base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-0.90</w:t>
            </w:r>
          </w:p>
        </w:tc>
        <w:tc>
          <w:tcPr>
            <w:tcW w:type="dxa" w:w="1440"/>
          </w:tcPr>
          <w:p>
            <w:r>
              <w:t>debt</w:t>
            </w:r>
          </w:p>
        </w:tc>
        <w:tc>
          <w:tcPr>
            <w:tcW w:type="dxa" w:w="1440"/>
          </w:tcPr>
          <w:p>
            <w:r>
              <w:t>n.m. (no positive fixed point)</w:t>
            </w:r>
          </w:p>
        </w:tc>
      </w:tr>
      <w:tr>
        <w:tc>
          <w:tcPr>
            <w:tcW w:type="dxa" w:w="1440"/>
          </w:tcPr>
          <w:p>
            <w:r>
              <w:t>Stop building</w:t>
            </w:r>
          </w:p>
        </w:tc>
        <w:tc>
          <w:tcPr>
            <w:tcW w:type="dxa" w:w="1440"/>
          </w:tcPr>
          <w:p>
            <w:r>
              <w:t>9.86</w:t>
            </w:r>
          </w:p>
        </w:tc>
        <w:tc>
          <w:tcPr>
            <w:tcW w:type="dxa" w:w="1440"/>
          </w:tcPr>
          <w:p>
            <w:r>
              <w:t>13.21</w:t>
            </w:r>
          </w:p>
        </w:tc>
        <w:tc>
          <w:tcPr>
            <w:tcW w:type="dxa" w:w="1440"/>
          </w:tcPr>
          <w:p>
            <w:r>
              <w:t>9.77</w:t>
            </w:r>
          </w:p>
        </w:tc>
        <w:tc>
          <w:tcPr>
            <w:tcW w:type="dxa" w:w="1440"/>
          </w:tcPr>
          <w:p>
            <w:r>
              <w:t>debt</w:t>
            </w:r>
          </w:p>
        </w:tc>
        <w:tc>
          <w:tcPr>
            <w:tcW w:type="dxa" w:w="1440"/>
          </w:tcPr>
          <w:p>
            <w:r>
              <w:t>0M (~0.0-0.0x)</w:t>
            </w:r>
          </w:p>
        </w:tc>
      </w:tr>
      <w:tr>
        <w:tc>
          <w:tcPr>
            <w:tcW w:type="dxa" w:w="1440"/>
          </w:tcPr>
          <w:p>
            <w:r>
              <w:t>A4 all uncontracted $24M (Judge)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223.39</w:t>
            </w:r>
          </w:p>
        </w:tc>
        <w:tc>
          <w:tcPr>
            <w:tcW w:type="dxa" w:w="1440"/>
          </w:tcPr>
          <w:p>
            <w:r>
              <w:t>66.49</w:t>
            </w:r>
          </w:p>
        </w:tc>
        <w:tc>
          <w:tcPr>
            <w:tcW w:type="dxa" w:w="1440"/>
          </w:tcPr>
          <w:p>
            <w:r>
              <w:t>debt</w:t>
            </w:r>
          </w:p>
        </w:tc>
        <w:tc>
          <w:tcPr>
            <w:tcW w:type="dxa" w:w="1440"/>
          </w:tcPr>
          <w:p>
            <w:r>
              <w:t>230M (~2.4-2.9x)</w:t>
            </w:r>
          </w:p>
        </w:tc>
      </w:tr>
      <w:tr>
        <w:tc>
          <w:tcPr>
            <w:tcW w:type="dxa" w:w="1440"/>
          </w:tcPr>
          <w:p>
            <w:r>
              <w:t>D1</w:t>
            </w:r>
          </w:p>
        </w:tc>
        <w:tc>
          <w:tcPr>
            <w:tcW w:type="dxa" w:w="1440"/>
          </w:tcPr>
          <w:p>
            <w:r>
              <w:t>135.31</w:t>
            </w:r>
          </w:p>
        </w:tc>
        <w:tc>
          <w:tcPr>
            <w:tcW w:type="dxa" w:w="1440"/>
          </w:tcPr>
          <w:p>
            <w:r>
              <w:t>139.30</w:t>
            </w:r>
          </w:p>
        </w:tc>
        <w:tc>
          <w:tcPr>
            <w:tcW w:type="dxa" w:w="1440"/>
          </w:tcPr>
          <w:p>
            <w:r>
              <w:t>44.84</w:t>
            </w:r>
          </w:p>
        </w:tc>
        <w:tc>
          <w:tcPr>
            <w:tcW w:type="dxa" w:w="1440"/>
          </w:tcPr>
          <w:p>
            <w:r>
              <w:t>debt</w:t>
            </w:r>
          </w:p>
        </w:tc>
        <w:tc>
          <w:tcPr>
            <w:tcW w:type="dxa" w:w="1440"/>
          </w:tcPr>
          <w:p>
            <w:r>
              <w:t>465M (~4.8-6.0x)</w:t>
            </w:r>
          </w:p>
        </w:tc>
      </w:tr>
      <w:tr>
        <w:tc>
          <w:tcPr>
            <w:tcW w:type="dxa" w:w="1440"/>
          </w:tcPr>
          <w:p>
            <w:r>
              <w:t>D2</w:t>
            </w:r>
          </w:p>
        </w:tc>
        <w:tc>
          <w:tcPr>
            <w:tcW w:type="dxa" w:w="1440"/>
          </w:tcPr>
          <w:p>
            <w:r>
              <w:t>152.73</w:t>
            </w:r>
          </w:p>
        </w:tc>
        <w:tc>
          <w:tcPr>
            <w:tcW w:type="dxa" w:w="1440"/>
          </w:tcPr>
          <w:p>
            <w:r>
              <w:t>156.08</w:t>
            </w:r>
          </w:p>
        </w:tc>
        <w:tc>
          <w:tcPr>
            <w:tcW w:type="dxa" w:w="1440"/>
          </w:tcPr>
          <w:p>
            <w:r>
              <w:t>49.64</w:t>
            </w:r>
          </w:p>
        </w:tc>
        <w:tc>
          <w:tcPr>
            <w:tcW w:type="dxa" w:w="1440"/>
          </w:tcPr>
          <w:p>
            <w:r>
              <w:t>debt</w:t>
            </w:r>
          </w:p>
        </w:tc>
        <w:tc>
          <w:tcPr>
            <w:tcW w:type="dxa" w:w="1440"/>
          </w:tcPr>
          <w:p>
            <w:r>
              <w:t>406M (~4.2-5.2x)</w:t>
            </w:r>
          </w:p>
        </w:tc>
      </w:tr>
      <w:tr>
        <w:tc>
          <w:tcPr>
            <w:tcW w:type="dxa" w:w="1440"/>
          </w:tcPr>
          <w:p>
            <w:r>
              <w:t>D3 [LABELLED SCENARIO - NOT BASE] (Judge $24M)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281.37</w:t>
            </w:r>
          </w:p>
        </w:tc>
        <w:tc>
          <w:tcPr>
            <w:tcW w:type="dxa" w:w="1440"/>
          </w:tcPr>
          <w:p>
            <w:r>
              <w:t>87.91</w:t>
            </w:r>
          </w:p>
        </w:tc>
        <w:tc>
          <w:tcPr>
            <w:tcW w:type="dxa" w:w="1440"/>
          </w:tcPr>
          <w:p>
            <w:r>
              <w:t>debt</w:t>
            </w:r>
          </w:p>
        </w:tc>
        <w:tc>
          <w:tcPr>
            <w:tcW w:type="dxa" w:w="1440"/>
          </w:tcPr>
          <w:p>
            <w:r>
              <w:t>226M (~2.3-2.9x)</w:t>
            </w:r>
          </w:p>
        </w:tc>
      </w:tr>
      <w:tr>
        <w:tc>
          <w:tcPr>
            <w:tcW w:type="dxa" w:w="1440"/>
          </w:tcPr>
          <w:p>
            <w:r>
              <w:t>Bull (Scen 1)</w:t>
            </w:r>
          </w:p>
        </w:tc>
        <w:tc>
          <w:tcPr>
            <w:tcW w:type="dxa" w:w="1440"/>
          </w:tcPr>
          <w:p>
            <w:r>
              <w:t>400.75</w:t>
            </w:r>
          </w:p>
        </w:tc>
        <w:tc>
          <w:tcPr>
            <w:tcW w:type="dxa" w:w="1440"/>
          </w:tcPr>
          <w:p>
            <w:r>
              <w:t>400.51</w:t>
            </w:r>
          </w:p>
        </w:tc>
        <w:tc>
          <w:tcPr>
            <w:tcW w:type="dxa" w:w="1440"/>
          </w:tcPr>
          <w:p>
            <w:r>
              <w:t>125.48</w:t>
            </w:r>
          </w:p>
        </w:tc>
        <w:tc>
          <w:tcPr>
            <w:tcW w:type="dxa" w:w="1440"/>
          </w:tcPr>
          <w:p>
            <w:r>
              <w:t>if-converted</w:t>
            </w:r>
          </w:p>
        </w:tc>
        <w:tc>
          <w:tcPr>
            <w:tcW w:type="dxa" w:w="1440"/>
          </w:tcPr>
          <w:p>
            <w:r>
              <w:t>131M (~1.4-1.7x)</w:t>
            </w:r>
          </w:p>
        </w:tc>
      </w:tr>
      <w:tr>
        <w:tc>
          <w:tcPr>
            <w:tcW w:type="dxa" w:w="1440"/>
          </w:tcPr>
          <w:p>
            <w:r>
              <w:t>Bear (Scen 3)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-34.36</w:t>
            </w:r>
          </w:p>
        </w:tc>
        <w:tc>
          <w:tcPr>
            <w:tcW w:type="dxa" w:w="1440"/>
          </w:tcPr>
          <w:p>
            <w:r>
              <w:t>debt</w:t>
            </w:r>
          </w:p>
        </w:tc>
        <w:tc>
          <w:tcPr>
            <w:tcW w:type="dxa" w:w="1440"/>
          </w:tcPr>
          <w:p>
            <w:r>
              <w:t>n.m. (no positive fixed point)</w:t>
            </w:r>
          </w:p>
        </w:tc>
      </w:tr>
    </w:tbl>
    <w:p>
      <w:r>
        <w:t>Reading: A4 ($223.39; Judge basis, all uncontracted $24.0M GB300 / $24.3M Rubin, base MW) still misses spot; D3 ($281.37; same price plus the high MW path) clears it but needs ~$24M on ALL uncontracted MW plus the high MW path - a labelled scenario, not a base case. The non-Microsoft MW would need ~$27.6M per billed MW; disclosed 5-6 yr contracts print $9.7–16.7M†. MW alone (B1/B2) leaves PT $0. Shares needed in the winning stacks (~226-230M, Judge $24.0M) are ~2.3-2.9x no-vote headroom (~78M / ~97M; proceeds ~$17.4-21.6B at $223.60). Turn-positive points (Judge basis): high $16.70M / base $17.05M; Lambda's $16.67M print is $0 on both paths. Base case PT still $0.</w:t>
      </w:r>
    </w:p>
    <w:p>
      <w:r>
        <w:t>Cover price-only solve at $237.15: $24.5 / $24.8M GB300 / Rubin (v0.9d $24.7 / $25.1 at $242.81). Skeptic full stack (leased $20M / $22.5M, Rubin $20M, 9%): $195.2 / $209.8 (v0.9d $186.0 / $201.0). Leased $20M row: $4.81 (v0.9d $1.45).</w:t>
      </w:r>
    </w:p>
    <w:p>
      <w:r>
        <w:t>Source: nebius_model.xlsx v0.9e, tabs Long_Bull / Drivers / Funding_Stack. SHORT remains default.</w:t>
      </w:r>
    </w:p>
    <w:p>
      <w:r>
        <w:rPr>
          <w:i/>
          <w:sz w:val="16"/>
        </w:rPr>
        <w:t>All figures Judge basis (Rubin = 1.0125× GB300). One-price figures retired Oct 8. A4/D3 read the Judge-basis Debate_Grid $24.0M solves; their v0.9d comparisons (one-price) are shown as —. A3 ($22M) and D3 + Butler slip were one-price-only runs and are removed (not re-solved on the Judge basis). D1/D2/Bull carry their own Rubin inputs and are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