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color w:val="1F4E8C"/>
          <w:sz w:val="19"/>
        </w:rPr>
        <w:t>Peer benchmark: $ per IT MW-yr, contracted vs energized MW, power and permits (CoreWeave, IREN, Oracle, Nscale, Lambda, Crusoe, Bitdeer vs Nebius)</w:t>
      </w:r>
    </w:p>
    <w:p>
      <w:pPr>
        <w:spacing w:after="20"/>
      </w:pPr>
      <w:r>
        <w:rPr>
          <w:b w:val="0"/>
          <w:color w:val="404040"/>
          <w:sz w:val="12"/>
        </w:rPr>
        <w:t xml:space="preserve">Nebius Peer KPIs | as of Fri Oct 9, 2026 (ET) | public sources only | Nebius on model v0.9e locks | $ per MW-yr = TCV / term / MW for each named contract ($M) | comp band $9.7-16.7M unchanged | R reported/primary, D derived from R, P press (footnoted), E estimate, n/d not disclosed | </w:t>
      </w:r>
      <w:r>
        <w:rPr>
          <w:b/>
          <w:color w:val="C00000"/>
          <w:sz w:val="12"/>
        </w:rPr>
        <w:t>red bold</w:t>
      </w:r>
      <w:r>
        <w:rPr>
          <w:b w:val="0"/>
          <w:color w:val="404040"/>
          <w:sz w:val="12"/>
        </w:rPr>
        <w:t xml:space="preserve"> = print &gt;= $20M/MW</w:t>
      </w:r>
    </w:p>
    <w:p>
      <w:pPr>
        <w:spacing w:after="40"/>
      </w:pPr>
      <w:r>
        <w:rPr>
          <w:b/>
          <w:color w:val="C00000"/>
          <w:sz w:val="15"/>
        </w:rPr>
        <w:t>Only one contract with disclosed MW reaches $20M/MW: Bitdeer, ~15 MW, a &lt;= $22.4M ceiling, basis from secondary sources.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10" w:type="dxa"/>
          <w:left w:w="30" w:type="dxa"/>
          <w:bottom w:w="10" w:type="dxa"/>
          <w:right w:w="30" w:type="dxa"/>
        </w:tblCellMar>
      </w:tblPr>
      <w:tblGrid>
        <w:gridCol w:w="1123"/>
        <w:gridCol w:w="3528"/>
        <w:gridCol w:w="1512"/>
        <w:gridCol w:w="2520"/>
        <w:gridCol w:w="2232"/>
        <w:gridCol w:w="2232"/>
        <w:gridCol w:w="1828"/>
      </w:tblGrid>
      <w:tr>
        <w:tc>
          <w:tcPr>
            <w:tcW w:type="dxa" w:w="1123"/>
            <w:shd w:val="clear" w:color="auto" w:fill="1F4E8C"/>
          </w:tcPr>
          <w:p>
            <w:r>
              <w:rPr>
                <w:b/>
                <w:color w:val="FFFFFF"/>
                <w:sz w:val="12"/>
              </w:rPr>
              <w:t>Company</w:t>
            </w:r>
          </w:p>
        </w:tc>
        <w:tc>
          <w:tcPr>
            <w:tcW w:type="dxa" w:w="3528"/>
            <w:shd w:val="clear" w:color="auto" w:fill="1F4E8C"/>
          </w:tcPr>
          <w:p>
            <w:r>
              <w:rPr>
                <w:b/>
                <w:color w:val="FFFFFF"/>
                <w:sz w:val="12"/>
              </w:rPr>
              <w:t>Disclosed $M per IT MW-yr (named contracts) + company KPI prints</w:t>
            </w:r>
          </w:p>
        </w:tc>
        <w:tc>
          <w:tcPr>
            <w:tcW w:type="dxa" w:w="1512"/>
            <w:shd w:val="clear" w:color="auto" w:fill="1F4E8C"/>
          </w:tcPr>
          <w:p>
            <w:r>
              <w:rPr>
                <w:b/>
                <w:color w:val="FFFFFF"/>
                <w:sz w:val="12"/>
              </w:rPr>
              <w:t>MW basis of the $ figures</w:t>
            </w:r>
          </w:p>
        </w:tc>
        <w:tc>
          <w:tcPr>
            <w:tcW w:type="dxa" w:w="2520"/>
            <w:shd w:val="clear" w:color="auto" w:fill="1F4E8C"/>
          </w:tcPr>
          <w:p>
            <w:r>
              <w:rPr>
                <w:b/>
                <w:color w:val="FFFFFF"/>
                <w:sz w:val="12"/>
              </w:rPr>
              <w:t>Contracted vs energized (active) MW</w:t>
            </w:r>
          </w:p>
        </w:tc>
        <w:tc>
          <w:tcPr>
            <w:tcW w:type="dxa" w:w="2232"/>
            <w:shd w:val="clear" w:color="auto" w:fill="1F4E8C"/>
          </w:tcPr>
          <w:p>
            <w:r>
              <w:rPr>
                <w:b/>
                <w:color w:val="FFFFFF"/>
                <w:sz w:val="12"/>
              </w:rPr>
              <w:t>Power (utility / ISO, interconnection, on-site gen)</w:t>
            </w:r>
          </w:p>
        </w:tc>
        <w:tc>
          <w:tcPr>
            <w:tcW w:type="dxa" w:w="2232"/>
            <w:shd w:val="clear" w:color="auto" w:fill="1F4E8C"/>
          </w:tcPr>
          <w:p>
            <w:r>
              <w:rPr>
                <w:b/>
                <w:color w:val="FFFFFF"/>
                <w:sz w:val="12"/>
              </w:rPr>
              <w:t>Permit status</w:t>
            </w:r>
          </w:p>
        </w:tc>
        <w:tc>
          <w:tcPr>
            <w:tcW w:type="dxa" w:w="1829"/>
            <w:shd w:val="clear" w:color="auto" w:fill="1F4E8C"/>
          </w:tcPr>
          <w:p>
            <w:r>
              <w:rPr>
                <w:b/>
                <w:color w:val="FFFFFF"/>
                <w:sz w:val="12"/>
              </w:rPr>
              <w:t>Sources (full list: xlsx Sources tab)</w:t>
            </w:r>
          </w:p>
        </w:tc>
      </w:tr>
      <w:tr>
        <w:tc>
          <w:tcPr>
            <w:tcW w:type="dxa" w:w="1123"/>
          </w:tcPr>
          <w:p>
            <w:r>
              <w:rPr>
                <w:b/>
                <w:color w:val="1F4E8C"/>
                <w:sz w:val="14"/>
              </w:rPr>
              <w:t>CoreWeave</w:t>
            </w:r>
          </w:p>
          <w:p>
            <w:r>
              <w:rPr>
                <w:b w:val="0"/>
                <w:color w:val="555555"/>
                <w:sz w:val="12"/>
              </w:rPr>
              <w:t>key site: Denton TX (Core Scientific)</w:t>
            </w:r>
          </w:p>
        </w:tc>
        <w:tc>
          <w:tcPr>
            <w:tcW w:type="dxa" w:w="3528"/>
          </w:tcPr>
          <w:p>
            <w:r>
              <w:rPr>
                <w:b w:val="0"/>
                <w:sz w:val="13"/>
              </w:rPr>
              <w:t xml:space="preserve">n/d for every named deal: Meta $14.2B/6.2y and $21.0B/6.7y, OpenAI $22.4B (3 orders), Jane Street $6B, Anthropic (no value) - no MW disclosed [R]. KPI: </w:t>
            </w:r>
            <w:r>
              <w:rPr>
                <w:b/>
                <w:color w:val="C00000"/>
                <w:sz w:val="13"/>
              </w:rPr>
              <w:t>~$40M/MW-yr</w:t>
            </w:r>
            <w:r>
              <w:rPr>
                <w:b w:val="0"/>
                <w:sz w:val="13"/>
              </w:rPr>
              <w:t xml:space="preserve"> on 3-6-month deals¹ [R]. Context: Denton colocation ~$1.4M/MW-yr (shell+power, not compute) [D].</w:t>
            </w:r>
          </w:p>
        </w:tc>
        <w:tc>
          <w:tcPr>
            <w:tcW w:type="dxa" w:w="1512"/>
          </w:tcPr>
          <w:p>
            <w:r>
              <w:rPr>
                <w:b w:val="0"/>
                <w:sz w:val="13"/>
              </w:rPr>
              <w:t>Contracts: n/a (no MW). $40M KPI: 'MW' unstated; CRWV active power reads IT [E].</w:t>
            </w:r>
          </w:p>
        </w:tc>
        <w:tc>
          <w:tcPr>
            <w:tcW w:type="dxa" w:w="2520"/>
          </w:tcPr>
          <w:p>
            <w:r>
              <w:rPr>
                <w:b w:val="0"/>
                <w:sz w:val="13"/>
              </w:rPr>
              <w:t>Contracted 3,700 (Jun-30) → ~4,200 (Aug-11) [R]; active 1,500 [R] = 2.5x [D]. Denton ~260 IT active/billed [D on R].</w:t>
            </w:r>
          </w:p>
        </w:tc>
        <w:tc>
          <w:tcPr>
            <w:tcW w:type="dxa" w:w="2232"/>
          </w:tcPr>
          <w:p>
            <w:r>
              <w:rPr>
                <w:b w:val="0"/>
                <w:sz w:val="13"/>
              </w:rPr>
              <w:t>Denton Municipal Electric PPA (~394 MW); ERCOT: 297 MW energized + 74 MW validated, both outside Batch Zero [R]. Standby gensets only [R].</w:t>
            </w:r>
          </w:p>
        </w:tc>
        <w:tc>
          <w:tcPr>
            <w:tcW w:type="dxa" w:w="2232"/>
          </w:tcPr>
          <w:p>
            <w:r>
              <w:rPr>
                <w:b w:val="0"/>
                <w:sz w:val="13"/>
              </w:rPr>
              <w:t>TCEQ PBR 179143 standby engines [R]; no Title V/NSR [R, absence]. City moratorium: 2nd hearing Oct 27, vote &gt;= Dec 1; city attorney: need not stop existing projects [P].</w:t>
            </w:r>
          </w:p>
        </w:tc>
        <w:tc>
          <w:tcPr>
            <w:tcW w:type="dxa" w:w="1829"/>
          </w:tcPr>
          <w:p>
            <w:r>
              <w:rPr>
                <w:b w:val="0"/>
                <w:color w:val="444444"/>
                <w:sz w:val="11"/>
              </w:rPr>
              <w:t>$: 8-Ks 9/30/25, 4/9/26; PR 4/15/26; convert deck 8-K 9/17/26 sl.7. MW: Q2'26 PR 8/11/26. Pwr/permit: CORZ 8-K 9/10/26; TCEQ PBR 179143, Title V/NSR lists 10/8; Community Impact 9/24.</w:t>
            </w:r>
          </w:p>
        </w:tc>
      </w:tr>
      <w:tr>
        <w:tc>
          <w:tcPr>
            <w:tcW w:type="dxa" w:w="1123"/>
          </w:tcPr>
          <w:p>
            <w:r>
              <w:rPr>
                <w:b/>
                <w:color w:val="1F4E8C"/>
                <w:sz w:val="14"/>
              </w:rPr>
              <w:t>IREN</w:t>
            </w:r>
          </w:p>
          <w:p>
            <w:r>
              <w:rPr>
                <w:b w:val="0"/>
                <w:color w:val="555555"/>
                <w:sz w:val="12"/>
              </w:rPr>
              <w:t>key site: Childress TX (Microsoft Horizons)</w:t>
            </w:r>
          </w:p>
        </w:tc>
        <w:tc>
          <w:tcPr>
            <w:tcW w:type="dxa" w:w="3528"/>
          </w:tcPr>
          <w:p>
            <w:r>
              <w:rPr>
                <w:b w:val="0"/>
                <w:sz w:val="13"/>
              </w:rPr>
              <w:t xml:space="preserve">Microsoft $9.7B/5y/200 IT MW = 9.7 [D]; NVIDIA $3.4B/5y/~60 MW = 11.3 [D] → named range 9.7-11.3. KPI: recent 3-yr deals </w:t>
            </w:r>
            <w:r>
              <w:rPr>
                <w:b/>
                <w:color w:val="C00000"/>
                <w:sz w:val="13"/>
              </w:rPr>
              <w:t>&gt;$20M</w:t>
            </w:r>
            <w:r>
              <w:rPr>
                <w:b w:val="0"/>
                <w:sz w:val="13"/>
              </w:rPr>
              <w:t xml:space="preserve"> and discussions </w:t>
            </w:r>
            <w:r>
              <w:rPr>
                <w:b/>
                <w:color w:val="C00000"/>
                <w:sz w:val="13"/>
              </w:rPr>
              <w:t>~$25M</w:t>
            </w:r>
            <w:r>
              <w:rPr>
                <w:b w:val="0"/>
                <w:sz w:val="13"/>
              </w:rPr>
              <w:t xml:space="preserve"> (unsigned)² [R].</w:t>
            </w:r>
          </w:p>
        </w:tc>
        <w:tc>
          <w:tcPr>
            <w:tcW w:type="dxa" w:w="1512"/>
          </w:tcPr>
          <w:p>
            <w:r>
              <w:rPr>
                <w:b w:val="0"/>
                <w:sz w:val="13"/>
              </w:rPr>
              <w:t>Microsoft: IT (company). NVIDIA: 60 MW unlabeled. KPIs: 'per MW (IT)'.</w:t>
            </w:r>
          </w:p>
        </w:tc>
        <w:tc>
          <w:tcPr>
            <w:tcW w:type="dxa" w:w="2520"/>
          </w:tcPr>
          <w:p>
            <w:r>
              <w:rPr>
                <w:b w:val="0"/>
                <w:sz w:val="13"/>
              </w:rPr>
              <w:t>Contracted AI ~260 IT (200 + ~60) [D]; operating AI ~40 MW at Jun-30 [R]. Childress now ~75 active (50-100) / 50 billed IT (H1 accepted 8/13) [D on R].</w:t>
            </w:r>
          </w:p>
        </w:tc>
        <w:tc>
          <w:tcPr>
            <w:tcW w:type="dxa" w:w="2232"/>
          </w:tcPr>
          <w:p>
            <w:r>
              <w:rPr>
                <w:b w:val="0"/>
                <w:sz w:val="13"/>
              </w:rPr>
              <w:t>AEP Texas / ERCOT; 750 MW grid, existing energized load incl. legacy mining; IREN-owned substations [R]. No on-site generation found.</w:t>
            </w:r>
          </w:p>
        </w:tc>
        <w:tc>
          <w:tcPr>
            <w:tcW w:type="dxa" w:w="2232"/>
          </w:tcPr>
          <w:p>
            <w:r>
              <w:rPr>
                <w:b w:val="0"/>
                <w:sz w:val="13"/>
              </w:rPr>
              <w:t>TCEQ Title V #4951 'Administratively Complete', not issued; inside the Sep 21 Texas data-center permit pause [R/P]. No NSR/PSD [R, absence].</w:t>
            </w:r>
          </w:p>
        </w:tc>
        <w:tc>
          <w:tcPr>
            <w:tcW w:type="dxa" w:w="1829"/>
          </w:tcPr>
          <w:p>
            <w:r>
              <w:rPr>
                <w:b w:val="0"/>
                <w:color w:val="444444"/>
                <w:sz w:val="11"/>
              </w:rPr>
              <w:t>$: 8-K 11/3/25; NVIDIA PR 5/26; FY26 results 8/27/26. MW: 10-K FY26; 8-K 8/13/26. Pwr/permit: IREN PR 7/24/24; TCEQ Title V list 10/8; Gov. Abbott 9/21.</w:t>
            </w:r>
          </w:p>
        </w:tc>
      </w:tr>
      <w:tr>
        <w:tc>
          <w:tcPr>
            <w:tcW w:type="dxa" w:w="1123"/>
          </w:tcPr>
          <w:p>
            <w:r>
              <w:rPr>
                <w:b/>
                <w:color w:val="1F4E8C"/>
                <w:sz w:val="14"/>
              </w:rPr>
              <w:t>Oracle (OCI)</w:t>
            </w:r>
          </w:p>
          <w:p>
            <w:r>
              <w:rPr>
                <w:b w:val="0"/>
                <w:color w:val="555555"/>
                <w:sz w:val="12"/>
              </w:rPr>
              <w:t>key site: Port Washington WI (Abilene counted under Crusoe)</w:t>
            </w:r>
          </w:p>
        </w:tc>
        <w:tc>
          <w:tcPr>
            <w:tcW w:type="dxa" w:w="3528"/>
          </w:tcPr>
          <w:p>
            <w:r>
              <w:rPr>
                <w:b w:val="0"/>
                <w:sz w:val="13"/>
              </w:rPr>
              <w:t>OpenAI ~$300B/5y/4.5 GW = 13.3 stated / 16.0 IT read³ [P]. Meta ~$20B, Tencent ~$7B/5y: MW n/d [P].</w:t>
            </w:r>
          </w:p>
        </w:tc>
        <w:tc>
          <w:tcPr>
            <w:tcW w:type="dxa" w:w="1512"/>
          </w:tcPr>
          <w:p>
            <w:r>
              <w:rPr>
                <w:b w:val="0"/>
                <w:sz w:val="13"/>
              </w:rPr>
              <w:t>4.5 GW unlabeled; ~353 GPUs/MW implies gross → IT read = /1.2 [D].</w:t>
            </w:r>
          </w:p>
        </w:tc>
        <w:tc>
          <w:tcPr>
            <w:tcW w:type="dxa" w:w="2520"/>
          </w:tcPr>
          <w:p>
            <w:r>
              <w:rPr>
                <w:b w:val="0"/>
                <w:sz w:val="13"/>
              </w:rPr>
              <w:t>Contracted: n/d as filed; '&gt;10 GW secured' (call) [R]; OpenAI 4.5 GW [P]. Installed base n/d; 850 MW delivered in FQ1 FY27 incl. Abilene 618 [R]; ~2,050 cumulative since Jun-25 [E]. Port Washington 0 [R].</w:t>
            </w:r>
          </w:p>
        </w:tc>
        <w:tc>
          <w:tcPr>
            <w:tcW w:type="dxa" w:w="2232"/>
          </w:tcPr>
          <w:p>
            <w:r>
              <w:rPr>
                <w:b w:val="0"/>
                <w:sz w:val="13"/>
              </w:rPr>
              <w:t>Port Washington: We Energies / ATC; 0 MW connected; ATC Ozaukee upgrade built Dec-26 to Dec-27; partial power ~Oct-Dec 2027 (Aterio) [R/P]. 87 MW backup diesel [R].</w:t>
            </w:r>
          </w:p>
        </w:tc>
        <w:tc>
          <w:tcPr>
            <w:tcW w:type="dxa" w:w="2232"/>
          </w:tcPr>
          <w:p>
            <w:r>
              <w:rPr>
                <w:b w:val="0"/>
                <w:sz w:val="13"/>
              </w:rPr>
              <w:t>WDNR air 25-MIN-094 final 6/12/26 [R]. ATC grid case at PSC refiled; completeness decision ~Oct 19 [P].</w:t>
            </w:r>
          </w:p>
        </w:tc>
        <w:tc>
          <w:tcPr>
            <w:tcW w:type="dxa" w:w="1829"/>
          </w:tcPr>
          <w:p>
            <w:r>
              <w:rPr>
                <w:b w:val="0"/>
                <w:color w:val="444444"/>
                <w:sz w:val="11"/>
              </w:rPr>
              <w:t>$: WSJ 9/10/25; CNBC 10/16/25; FT via DCD 10/1/26. MW: FQ1 FY27 call 9/10/26. Pwr/permit: PSC docs 593736/597276; WDNR permit; TechRadar 10/4; Aterio 9/30.</w:t>
            </w:r>
          </w:p>
        </w:tc>
      </w:tr>
      <w:tr>
        <w:tc>
          <w:tcPr>
            <w:tcW w:type="dxa" w:w="1123"/>
          </w:tcPr>
          <w:p>
            <w:r>
              <w:rPr>
                <w:b/>
                <w:color w:val="1F4E8C"/>
                <w:sz w:val="14"/>
              </w:rPr>
              <w:t>Nscale</w:t>
            </w:r>
          </w:p>
          <w:p>
            <w:r>
              <w:rPr>
                <w:b w:val="0"/>
                <w:color w:val="555555"/>
                <w:sz w:val="12"/>
              </w:rPr>
              <w:t>key sites: Monarch WV; Kvandal NO</w:t>
            </w:r>
          </w:p>
        </w:tc>
        <w:tc>
          <w:tcPr>
            <w:tcW w:type="dxa" w:w="3528"/>
          </w:tcPr>
          <w:p>
            <w:r>
              <w:rPr>
                <w:b w:val="0"/>
                <w:sz w:val="13"/>
              </w:rPr>
              <w:t>Anthropic up to $44.6B/6y/460 IT = 16.2 [P]⁴; Microsoft up to $43.8B/5.5y/~596 IT = 13.4 [P]⁴; Narvik $6.2B/5y/~106 IT = 11.7 [D] → range 11.7-16.2.</w:t>
            </w:r>
          </w:p>
        </w:tc>
        <w:tc>
          <w:tcPr>
            <w:tcW w:type="dxa" w:w="1512"/>
          </w:tcPr>
          <w:p>
            <w:r>
              <w:rPr>
                <w:b w:val="0"/>
                <w:sz w:val="13"/>
              </w:rPr>
              <w:t>IT: Monarch 460 IT per S-1; Microsoft IT MW = GPUs / 491 (GB300) or 320 (Rubin) per IT MW [D].</w:t>
            </w:r>
          </w:p>
        </w:tc>
        <w:tc>
          <w:tcPr>
            <w:tcW w:type="dxa" w:w="2520"/>
          </w:tcPr>
          <w:p>
            <w:r>
              <w:rPr>
                <w:b w:val="0"/>
                <w:sz w:val="13"/>
              </w:rPr>
              <w:t>Active + contracted 1,370 IT (8/31) [R]; active &lt;= 81 (5-site sum, upper bound) [D] = ~17x. Monarch 460 contracted / 0 active [R].</w:t>
            </w:r>
          </w:p>
        </w:tc>
        <w:tc>
          <w:tcPr>
            <w:tcW w:type="dxa" w:w="2232"/>
          </w:tcPr>
          <w:p>
            <w:r>
              <w:rPr>
                <w:b w:val="0"/>
                <w:sz w:val="13"/>
              </w:rPr>
              <w:t>Monarch: off-grid gas microgrid, 864 x 2.5 MW engines (2.16 GW nameplate), no utility interconnect [R]. Kvandal: 230 MW Statnett allocation; Vattenfall PPA from 2027 [R].</w:t>
            </w:r>
          </w:p>
        </w:tc>
        <w:tc>
          <w:tcPr>
            <w:tcW w:type="dxa" w:w="2232"/>
          </w:tcPr>
          <w:p>
            <w:r>
              <w:rPr>
                <w:b w:val="0"/>
                <w:sz w:val="13"/>
              </w:rPr>
              <w:t>WVDEP air R14-0042 draft 9/29, comments close Oct 30 [R]; stormwater order 7/14 [P]. Kvandal: NVE fine warning, deadline Nov 15 [P]. Anthropic financing not committed [R].</w:t>
            </w:r>
          </w:p>
        </w:tc>
        <w:tc>
          <w:tcPr>
            <w:tcW w:type="dxa" w:w="1829"/>
          </w:tcPr>
          <w:p>
            <w:r>
              <w:rPr>
                <w:b w:val="0"/>
                <w:color w:val="444444"/>
                <w:sz w:val="11"/>
              </w:rPr>
              <w:t>$: S-1 9/18/26; Aker-Nscale PR 9/17/25; Bloomberg/Reuters (term). MW: S-1. Pwr/permit: WVDEP R14-0042 app/draft; Nscale site page; NRK 9/29.</w:t>
            </w:r>
          </w:p>
        </w:tc>
      </w:tr>
      <w:tr>
        <w:tc>
          <w:tcPr>
            <w:tcW w:type="dxa" w:w="1123"/>
          </w:tcPr>
          <w:p>
            <w:r>
              <w:rPr>
                <w:b/>
                <w:color w:val="1F4E8C"/>
                <w:sz w:val="14"/>
              </w:rPr>
              <w:t>Lambda</w:t>
            </w:r>
          </w:p>
          <w:p>
            <w:r>
              <w:rPr>
                <w:b w:val="0"/>
                <w:color w:val="555555"/>
                <w:sz w:val="12"/>
              </w:rPr>
              <w:t>key sites: Kansas City MO; Beacon Point TX</w:t>
            </w:r>
          </w:p>
        </w:tc>
        <w:tc>
          <w:tcPr>
            <w:tcW w:type="dxa" w:w="3528"/>
          </w:tcPr>
          <w:p>
            <w:r>
              <w:rPr>
                <w:b w:val="0"/>
                <w:sz w:val="13"/>
              </w:rPr>
              <w:t>Anthropic ~$35B/6y/~350 MW = 16.7 [P]⁵ (comp-band top). Microsoft 'multibillion': no value/MW [R]. NVIDIA leaseback $1.3B/4y/10k GPUs ($3.71/GPU-hr): MW n/d [P].</w:t>
            </w:r>
          </w:p>
        </w:tc>
        <w:tc>
          <w:tcPr>
            <w:tcW w:type="dxa" w:w="1512"/>
          </w:tcPr>
          <w:p>
            <w:r>
              <w:rPr>
                <w:b w:val="0"/>
                <w:sz w:val="13"/>
              </w:rPr>
              <w:t>350 MW unlabeled (IT vs gross unstated).</w:t>
            </w:r>
          </w:p>
        </w:tc>
        <w:tc>
          <w:tcPr>
            <w:tcW w:type="dxa" w:w="2520"/>
          </w:tcPr>
          <w:p>
            <w:r>
              <w:rPr>
                <w:b w:val="0"/>
                <w:sz w:val="13"/>
              </w:rPr>
              <w:t>Company totals n/d (no S-1). Pieces: Beacon Point ~350 [P]; KC 24 (-&gt;100+) [R]. Last active 47 MW (Q2'25) [P]; KC 0-24 (base 12) [E]. Backlog $50B (Sep-26)⁵ [P].</w:t>
            </w:r>
          </w:p>
        </w:tc>
        <w:tc>
          <w:tcPr>
            <w:tcW w:type="dxa" w:w="2232"/>
          </w:tcPr>
          <w:p>
            <w:r>
              <w:rPr>
                <w:b w:val="0"/>
                <w:sz w:val="13"/>
              </w:rPr>
              <w:t>KC: Evergy (full supply late summer 2026) + 5 x 3 MW rental prime-power engines Jun-Oct (+ up to 6 x 3) [R]. Beacon Point: Hut 8 build, NVIDIA holds lease [P].</w:t>
            </w:r>
          </w:p>
        </w:tc>
        <w:tc>
          <w:tcPr>
            <w:tcW w:type="dxa" w:w="2232"/>
          </w:tcPr>
          <w:p>
            <w:r>
              <w:rPr>
                <w:b w:val="0"/>
                <w:sz w:val="13"/>
              </w:rPr>
              <w:t>KC: MO DNR de minimis 102025-010 issued 10/29/25 [R]; no go-live confirmation. Beacon Point: n/d.</w:t>
            </w:r>
          </w:p>
        </w:tc>
        <w:tc>
          <w:tcPr>
            <w:tcW w:type="dxa" w:w="1829"/>
          </w:tcPr>
          <w:p>
            <w:r>
              <w:rPr>
                <w:b w:val="0"/>
                <w:color w:val="444444"/>
                <w:sz w:val="11"/>
              </w:rPr>
              <w:t>$: Reuters/WSJ/Bloomberg 8/31/26; Lambda PR 11/3/25; DCD 9/8/25. MW: The Information via press; Lambda PR 10/28/25; WSJ/TechCrunch 10/6. Pwr/permit: MO DNR permit + 4/15/26 letter; KSHB.</w:t>
            </w:r>
          </w:p>
        </w:tc>
      </w:tr>
      <w:tr>
        <w:tc>
          <w:tcPr>
            <w:tcW w:type="dxa" w:w="1123"/>
          </w:tcPr>
          <w:p>
            <w:r>
              <w:rPr>
                <w:b/>
                <w:color w:val="1F4E8C"/>
                <w:sz w:val="14"/>
              </w:rPr>
              <w:t>Crusoe</w:t>
            </w:r>
          </w:p>
          <w:p>
            <w:r>
              <w:rPr>
                <w:b w:val="0"/>
                <w:color w:val="555555"/>
                <w:sz w:val="12"/>
              </w:rPr>
              <w:t>key site: Abilene TX (Oracle/OpenAI tenant)</w:t>
            </w:r>
          </w:p>
        </w:tc>
        <w:tc>
          <w:tcPr>
            <w:tcW w:type="dxa" w:w="3528"/>
          </w:tcPr>
          <w:p>
            <w:r>
              <w:rPr>
                <w:b w:val="0"/>
                <w:sz w:val="13"/>
              </w:rPr>
              <w:t xml:space="preserve">n/d for every named deal: Oracle Abilene lease, Microsoft 900 MW, Meta ~1.6 GW (values n/d); Jane Street $13B/5y (MW n/d) [P]. Company TCV/MW: </w:t>
            </w:r>
            <w:r>
              <w:rPr>
                <w:b/>
                <w:color w:val="C00000"/>
                <w:sz w:val="13"/>
              </w:rPr>
              <w:t>~$23.3M per gross MW</w:t>
            </w:r>
            <w:r>
              <w:rPr>
                <w:b w:val="0"/>
                <w:sz w:val="13"/>
              </w:rPr>
              <w:t>, whole term, not per year⁶ [D].</w:t>
            </w:r>
          </w:p>
        </w:tc>
        <w:tc>
          <w:tcPr>
            <w:tcW w:type="dxa" w:w="1512"/>
          </w:tcPr>
          <w:p>
            <w:r>
              <w:rPr>
                <w:b w:val="0"/>
                <w:sz w:val="13"/>
              </w:rPr>
              <w:t>Gross (company states gross MW); Microsoft 672 IT.</w:t>
            </w:r>
          </w:p>
        </w:tc>
        <w:tc>
          <w:tcPr>
            <w:tcW w:type="dxa" w:w="2520"/>
          </w:tcPr>
          <w:p>
            <w:r>
              <w:rPr>
                <w:b w:val="0"/>
                <w:sz w:val="13"/>
              </w:rPr>
              <w:t>Contracted 6 GW+ gross / ~1 GW gross operational [R] = 6x [D]. Abilene: 618 delivered (6 of 8 bldgs, 75%) [R]; active 618 (421-618) [D on R].</w:t>
            </w:r>
          </w:p>
        </w:tc>
        <w:tc>
          <w:tcPr>
            <w:tcW w:type="dxa" w:w="2232"/>
          </w:tcPr>
          <w:p>
            <w:r>
              <w:rPr>
                <w:b w:val="0"/>
                <w:sz w:val="13"/>
              </w:rPr>
              <w:t>ERCOT / AEP via Lancium 138 kV (200 MW) + 345 kV (1,000 MW) substations [R]; ~360 MW on-site gas turbines, backup per Crusoe [R/P].</w:t>
            </w:r>
          </w:p>
        </w:tc>
        <w:tc>
          <w:tcPr>
            <w:tcW w:type="dxa" w:w="2232"/>
          </w:tcPr>
          <w:p>
            <w:r>
              <w:rPr>
                <w:b w:val="0"/>
                <w:sz w:val="13"/>
              </w:rPr>
              <w:t>TCEQ 177263 issued [R]. 182126 / PSDTX1688 (Bldgs 9-10, up to ~1.3 GW gas) Technically Complete, not issued, frozen by the Sep 21 pause; TCEQ report Oct 19, ERCOT Dec 10, PUCT Dec 17 [R/P].</w:t>
            </w:r>
          </w:p>
        </w:tc>
        <w:tc>
          <w:tcPr>
            <w:tcW w:type="dxa" w:w="1829"/>
          </w:tcPr>
          <w:p>
            <w:r>
              <w:rPr>
                <w:b w:val="0"/>
                <w:color w:val="444444"/>
                <w:sz w:val="11"/>
              </w:rPr>
              <w:t>$: Crusoe PRs 9/17/26, 3/27/26, 5/21/25; Bloomberg via DCD 6/19, 9/4. MW: Series F PR; Oracle call 9/10. Pwr/permit: Mortenson; TCEQ 177263/182126; NSR list 10/8; Gov. Abbott 9/21.</w:t>
            </w:r>
          </w:p>
        </w:tc>
      </w:tr>
      <w:tr>
        <w:tc>
          <w:tcPr>
            <w:tcW w:type="dxa" w:w="1123"/>
          </w:tcPr>
          <w:p>
            <w:r>
              <w:rPr>
                <w:b/>
                <w:color w:val="1F4E8C"/>
                <w:sz w:val="14"/>
              </w:rPr>
              <w:t>Bitdeer AI</w:t>
            </w:r>
          </w:p>
          <w:p>
            <w:r>
              <w:rPr>
                <w:b w:val="0"/>
                <w:color w:val="555555"/>
                <w:sz w:val="12"/>
              </w:rPr>
              <w:t>not one of the six; added Oct 9 per GPU Market lock (A201 Johor MY)</w:t>
            </w:r>
          </w:p>
        </w:tc>
        <w:tc>
          <w:tcPr>
            <w:tcW w:type="dxa" w:w="3528"/>
          </w:tcPr>
          <w:p>
            <w:r>
              <w:rPr>
                <w:b w:val="0"/>
                <w:sz w:val="13"/>
              </w:rPr>
              <w:t xml:space="preserve">A201: &gt;$1.7B/5y / &gt;70% of ~21.7 MW (~15.2 MW) = </w:t>
            </w:r>
            <w:r>
              <w:rPr>
                <w:b/>
                <w:color w:val="C00000"/>
                <w:sz w:val="13"/>
              </w:rPr>
              <w:t>&lt;= $22.4M ceiling</w:t>
            </w:r>
            <w:r>
              <w:rPr>
                <w:b w:val="0"/>
                <w:sz w:val="13"/>
              </w:rPr>
              <w:t xml:space="preserve"> [D on R; basis P]⁹ (15.7 if 100% contracted). A102: &gt;$800M/5y/9.5 MW = &gt;16.8 [D]. A103 Cyberjaya 60 MW IT, 8-yr (10/8): no value [R].</w:t>
            </w:r>
          </w:p>
        </w:tc>
        <w:tc>
          <w:tcPr>
            <w:tcW w:type="dxa" w:w="1512"/>
          </w:tcPr>
          <w:p>
            <w:r>
              <w:rPr>
                <w:b w:val="0"/>
                <w:sz w:val="13"/>
              </w:rPr>
              <w:t>Primary releases do not label MW; 'critical IT' only in secondary sources (Datatech Times, ArusGrid) [P].</w:t>
            </w:r>
          </w:p>
        </w:tc>
        <w:tc>
          <w:tcPr>
            <w:tcW w:type="dxa" w:w="2520"/>
          </w:tcPr>
          <w:p>
            <w:r>
              <w:rPr>
                <w:b w:val="0"/>
                <w:sz w:val="13"/>
              </w:rPr>
              <w:t>Contracted: A201 &gt;= 15.2 of 21.7, A102 9.5, A103 60 IT (~85) [R/D]; energized 0 at these three (A201 Q1'27, A102 Q1'27, A103 Q1'28) [R]. Company AI-cloud active MW n/d.</w:t>
            </w:r>
          </w:p>
        </w:tc>
        <w:tc>
          <w:tcPr>
            <w:tcW w:type="dxa" w:w="2232"/>
          </w:tcPr>
          <w:p>
            <w:r>
              <w:rPr>
                <w:b w:val="0"/>
                <w:sz w:val="13"/>
              </w:rPr>
              <w:t>Energization targets only (A201 Q1'27; A103 Q1'28) [R]; utility / interconnection n/d; company 'secured 333.5 MW' [R].</w:t>
            </w:r>
          </w:p>
        </w:tc>
        <w:tc>
          <w:tcPr>
            <w:tcW w:type="dxa" w:w="2232"/>
          </w:tcPr>
          <w:p>
            <w:r>
              <w:rPr>
                <w:b w:val="0"/>
                <w:sz w:val="13"/>
              </w:rPr>
              <w:t>n/d (Malaysian permits not in team files).</w:t>
            </w:r>
          </w:p>
        </w:tc>
        <w:tc>
          <w:tcPr>
            <w:tcW w:type="dxa" w:w="1829"/>
          </w:tcPr>
          <w:p>
            <w:r>
              <w:rPr>
                <w:b w:val="0"/>
                <w:color w:val="444444"/>
                <w:sz w:val="11"/>
              </w:rPr>
              <w:t>$: Bitdeer PRs 9/29/26, 8/31/26; A103 release 10/8 (TMCnet); market/contract_economics.xlsx MidTerm_20M_Search r24-25/33/36; Needham 10/2, 10/7 (secondary).</w:t>
            </w:r>
          </w:p>
        </w:tc>
      </w:tr>
      <w:tr>
        <w:tc>
          <w:tcPr>
            <w:tcW w:type="dxa" w:w="1123"/>
            <w:shd w:val="clear" w:color="auto" w:fill="E8EEF7"/>
          </w:tcPr>
          <w:p>
            <w:r>
              <w:rPr>
                <w:b/>
                <w:color w:val="1F4E8C"/>
                <w:sz w:val="14"/>
              </w:rPr>
              <w:t>Nebius</w:t>
            </w:r>
          </w:p>
          <w:p>
            <w:r>
              <w:rPr>
                <w:b w:val="0"/>
                <w:color w:val="555555"/>
                <w:sz w:val="12"/>
              </w:rPr>
              <w:t>model v0.9e locks; key site: Vineland NJ</w:t>
            </w:r>
          </w:p>
        </w:tc>
        <w:tc>
          <w:tcPr>
            <w:tcW w:type="dxa" w:w="3528"/>
            <w:shd w:val="clear" w:color="auto" w:fill="E8EEF7"/>
          </w:tcPr>
          <w:p>
            <w:r>
              <w:rPr>
                <w:b w:val="0"/>
                <w:sz w:val="13"/>
              </w:rPr>
              <w:t xml:space="preserve">Microsoft: $14.49M per IT MW [E, house] (Contracts!E12)¹⁰. Meta $3B and $12B/5y: MW n/d [R]. KPI: Q2'26 deals </w:t>
            </w:r>
            <w:r>
              <w:rPr>
                <w:b/>
                <w:color w:val="C00000"/>
                <w:sz w:val="13"/>
              </w:rPr>
              <w:t>$20-25M</w:t>
            </w:r>
            <w:r>
              <w:rPr>
                <w:b w:val="0"/>
                <w:sz w:val="13"/>
              </w:rPr>
              <w:t xml:space="preserve"> ACV/MW; mgmt comment on Q3-to-date short-term pricing </w:t>
            </w:r>
            <w:r>
              <w:rPr>
                <w:b/>
                <w:color w:val="C00000"/>
                <w:sz w:val="13"/>
              </w:rPr>
              <w:t>&gt;$40M</w:t>
            </w:r>
            <w:r>
              <w:rPr>
                <w:b w:val="0"/>
                <w:sz w:val="13"/>
              </w:rPr>
              <w:t xml:space="preserve"> (Q2 letter + call, 8/12/26)⁷ [R]. LOCKED hurdles (v0.9e, per billed IT MW): non-MSFT </w:t>
            </w:r>
            <w:r>
              <w:rPr>
                <w:b/>
                <w:color w:val="C00000"/>
                <w:sz w:val="13"/>
              </w:rPr>
              <w:t>$27.63M</w:t>
            </w:r>
            <w:r>
              <w:rPr>
                <w:b w:val="0"/>
                <w:sz w:val="13"/>
              </w:rPr>
              <w:t xml:space="preserve">; clear-spot </w:t>
            </w:r>
            <w:r>
              <w:rPr>
                <w:b/>
                <w:color w:val="C00000"/>
                <w:sz w:val="13"/>
              </w:rPr>
              <w:t>$24.51M</w:t>
            </w:r>
            <w:r>
              <w:rPr>
                <w:b w:val="0"/>
                <w:sz w:val="13"/>
              </w:rPr>
              <w:t xml:space="preserve"> base / </w:t>
            </w:r>
            <w:r>
              <w:rPr>
                <w:b/>
                <w:color w:val="C00000"/>
                <w:sz w:val="13"/>
              </w:rPr>
              <w:t>$22.68M</w:t>
            </w:r>
            <w:r>
              <w:rPr>
                <w:b w:val="0"/>
                <w:sz w:val="13"/>
              </w:rPr>
              <w:t xml:space="preserve"> high; turn-positive $17.05M / $16.70M⁸ [D].</w:t>
              <w:br/>
              <w:t xml:space="preserve">Memo (blended, not a hurdle lock): </w:t>
            </w:r>
            <w:r>
              <w:rPr>
                <w:b/>
                <w:color w:val="C00000"/>
                <w:sz w:val="13"/>
              </w:rPr>
              <w:t>$23.13M</w:t>
            </w:r>
            <w:r>
              <w:rPr>
                <w:b w:val="0"/>
                <w:sz w:val="13"/>
              </w:rPr>
              <w:t xml:space="preserve"> = Street FY27 ÷ our 531.8 billed MW, all customers [D].</w:t>
            </w:r>
          </w:p>
        </w:tc>
        <w:tc>
          <w:tcPr>
            <w:tcW w:type="dxa" w:w="1512"/>
            <w:shd w:val="clear" w:color="auto" w:fill="E8EEF7"/>
          </w:tcPr>
          <w:p>
            <w:r>
              <w:rPr>
                <w:b w:val="0"/>
                <w:sz w:val="13"/>
              </w:rPr>
              <w:t>Microsoft MW never stated by Nebius/Microsoft (300 MW = Vineland site scalability, 2024 20-F); house uses 240 IT MW est. [E]; Q2 KPI basis undefined; hurdles = billed IT MW.</w:t>
            </w:r>
          </w:p>
        </w:tc>
        <w:tc>
          <w:tcPr>
            <w:tcW w:type="dxa" w:w="2520"/>
            <w:shd w:val="clear" w:color="auto" w:fill="E8EEF7"/>
          </w:tcPr>
          <w:p>
            <w:r>
              <w:rPr>
                <w:b w:val="0"/>
                <w:sz w:val="13"/>
              </w:rPr>
              <w:t>Contracted &gt; 3.5 GW (lower bound; 5 GW YE26 target) [R]; energized 181.5 → 193 (Mar → Jun-26) [E]; billed YE26 257.7 / 284.2, FY27 avg 531.84 / 659.16 [D]; connected guide YE26 800 MW-1 GW [R].</w:t>
            </w:r>
          </w:p>
        </w:tc>
        <w:tc>
          <w:tcPr>
            <w:tcW w:type="dxa" w:w="2232"/>
            <w:shd w:val="clear" w:color="auto" w:fill="E8EEF7"/>
          </w:tcPr>
          <w:p>
            <w:r>
              <w:rPr>
                <w:b w:val="0"/>
                <w:sz w:val="13"/>
              </w:rPr>
              <w:t>Vineland: 62 rented gensets (122.9 MW) + ~5 MW grid = ~107 MW IT ceiling; Bloom/LNG for the rest, no energization date [R/P/E].</w:t>
            </w:r>
          </w:p>
        </w:tc>
        <w:tc>
          <w:tcPr>
            <w:tcW w:type="dxa" w:w="2232"/>
            <w:shd w:val="clear" w:color="auto" w:fill="E8EEF7"/>
          </w:tcPr>
          <w:p>
            <w:r>
              <w:rPr>
                <w:b w:val="0"/>
                <w:sz w:val="13"/>
              </w:rPr>
              <w:t>Gensets unpermitted: NJDEP order 9/22, $1.07M penalty, 45-day permit deadline ~early/mid Nov [R]. City stop-work on Bloom/LNG (8/6, 8/10); amended site plan approved 8/17; Oct 14 Planning Board: no DataOne item [R].</w:t>
            </w:r>
          </w:p>
        </w:tc>
        <w:tc>
          <w:tcPr>
            <w:tcW w:type="dxa" w:w="1829"/>
            <w:shd w:val="clear" w:color="auto" w:fill="E8EEF7"/>
          </w:tcPr>
          <w:p>
            <w:r>
              <w:rPr>
                <w:b w:val="0"/>
                <w:color w:val="444444"/>
                <w:sz w:val="11"/>
              </w:rPr>
              <w:t>$: 6-Ks 9/8/25, 11/12/25, 3/16/26; Q2'26 letter + call 8/12/26; model v0.9e Drivers!B6/B9, Debate_Grid!A10/A13/A18. MW: Capacity Quarterly MW M130/N130; Q1/Q2'26 letters. Pwr/permit: NJ Gov. 9/22; capacity/site_verification s.1.</w:t>
            </w:r>
          </w:p>
        </w:tc>
      </w:tr>
    </w:tbl>
    <w:p>
      <w:pPr>
        <w:spacing w:after="20"/>
      </w:pPr>
    </w:p>
    <w:p>
      <w:pPr>
        <w:spacing w:after="0"/>
      </w:pPr>
      <w:r>
        <w:rPr>
          <w:b w:val="0"/>
          <w:color w:val="303030"/>
          <w:sz w:val="12"/>
        </w:rPr>
        <w:t>¹ CoreWeave ~$40M/MW-yr (convert deck 9/17/26 sl.7): annualized revenue on 3-6-month contracts after a ~70% July SKU price rise. It is high because of the short term and GPU-inclusive spot pricing; marginal deals only (fleet $8.24M per avg active MW, Q2'26). MW basis unstated.</w:t>
      </w:r>
    </w:p>
    <w:p>
      <w:pPr>
        <w:spacing w:after="0"/>
      </w:pPr>
      <w:r>
        <w:rPr>
          <w:b w:val="0"/>
          <w:color w:val="303030"/>
          <w:sz w:val="12"/>
        </w:rPr>
        <w:t>² IREN &gt;$20M (recent 3-yr deals) / ~$25M (discussions, unsigned), per MW (IT): high because of the 3-yr tenor (vs the 5-yr Microsoft anchor at $9.7M) and GPU-inclusive cloud pricing (~2-yr payback). Portfolio KPI; no per-deal MW or counterparty.</w:t>
      </w:r>
    </w:p>
    <w:p>
      <w:pPr>
        <w:spacing w:after="0"/>
      </w:pPr>
      <w:r>
        <w:rPr>
          <w:b w:val="0"/>
          <w:color w:val="303030"/>
          <w:sz w:val="12"/>
        </w:rPr>
        <w:t>³ Oracle-OpenAI ~$300B / ~5 yrs / 4.5 GW is WSJ only (P); Oracle filings do not name it. IT read divides 4.5 GW by 1.2.</w:t>
      </w:r>
    </w:p>
    <w:p>
      <w:pPr>
        <w:spacing w:after="0"/>
      </w:pPr>
      <w:r>
        <w:rPr>
          <w:b w:val="0"/>
          <w:color w:val="303030"/>
          <w:sz w:val="12"/>
        </w:rPr>
        <w:t>⁴ Nscale: TCV and MW are from the S-1 (R), but the term years are press (Anthropic 6 yrs, Bloomberg/Reuters) or a 5-6-yr tranche midpoint (Microsoft 5.5), so both prints are tagged P.</w:t>
      </w:r>
    </w:p>
    <w:p>
      <w:pPr>
        <w:spacing w:after="0"/>
      </w:pPr>
      <w:r>
        <w:rPr>
          <w:b w:val="0"/>
          <w:color w:val="303030"/>
          <w:sz w:val="12"/>
        </w:rPr>
        <w:t>⁵ Lambda: $35B, ~350 MW (WSJ/Reuters/Bloomberg, Aug 31) and the 6-yr term (WSJ via TheEnergyMag) are press only and unconfirmed by Lambda or Anthropic; the $50B backlog is from an investor letter reported by WSJ (Oct 6). No S-1/DRS. Medium confidence.</w:t>
      </w:r>
    </w:p>
    <w:p>
      <w:pPr>
        <w:spacing w:after="0"/>
      </w:pPr>
      <w:r>
        <w:rPr>
          <w:b w:val="0"/>
          <w:color w:val="303030"/>
          <w:sz w:val="12"/>
        </w:rPr>
        <w:t>⁶ Crusoe ~$23.3M is whole-term TCV ($140B+) per GROSS contracted MW (6 GW+), not per year, and mixes facility leases, cloud and JV capacity. Not comparable to $/MW-yr (a 5-yr term would be ~$4.7M/MW-yr, illustrative).</w:t>
      </w:r>
    </w:p>
    <w:p>
      <w:pPr>
        <w:spacing w:after="0"/>
      </w:pPr>
      <w:r>
        <w:rPr>
          <w:b w:val="0"/>
          <w:color w:val="303030"/>
          <w:sz w:val="12"/>
        </w:rPr>
        <w:t>⁷ Nebius $20-25M (four Q2'26 deals) and &gt;$40M: high because of 1-3-yr and up-to-6-month tenors vs 5-yr anchors and GPU-inclusive full-stack ACV; MW basis undefined. Q3 is NOT reported: '&gt;$40M' is a mgmt comment on Q3-to-date short-term pricing - Q2'26 letter KPI chart (6-K Ex.99.2, 8/12/26, sec.gov/Archives/edgar/data/1513845/000110465926094568/tm2622968d1_ex99-2.htm) and CEO Volozh, Q2'26 call 8/12/26 ('negotiating ... $40-$50 million per megawatt ... one such deal has been signed'; stockanalysis.com/stocks/nbis/transcripts/655490-q2-2026/).</w:t>
      </w:r>
    </w:p>
    <w:p>
      <w:pPr>
        <w:spacing w:after="0"/>
      </w:pPr>
      <w:r>
        <w:rPr>
          <w:b w:val="0"/>
          <w:color w:val="303030"/>
          <w:sz w:val="12"/>
        </w:rPr>
        <w:t>⁸ Nebius hurdles = REQUIRED revenue per billed IT MW, not contract prints (GPU-inclusive full-stack revenue). Model v0.9e cells: non-MSFT 27.63 = Drivers!B9 = (12,300-2,643.8)/(531.84-182.33); clear-spot base 24.51 = Drivers!B6 (= Judge_Slide!B8, PT $237.15) / high 22.68 = Debate_Grid!A18; turn-positive base 17.05 = Debate_Grid!A13 / high 16.70 = Debate_Grid!A10. Separate memo line (not a hurdle): $23.13M = Street FY27 ÷ our 531.8 billed MW, all customers [D] = Drivers!B10 = $12,300M / 531.84 (= Judge_Slide!B16); includes the Microsoft anchor, unlike the ~$27.6M non-MSFT hurdle.</w:t>
      </w:r>
    </w:p>
    <w:p>
      <w:pPr>
        <w:spacing w:after="0"/>
      </w:pPr>
      <w:r>
        <w:rPr>
          <w:b w:val="0"/>
          <w:color w:val="303030"/>
          <w:sz w:val="12"/>
        </w:rPr>
        <w:t>⁹ Bitdeer A201 &lt;= $22.4M: a CEILING because contracted MW is a floor (&gt;70% of ~21.7 MW; 100% = 15.7); GPU-inclusive GB300 cloud (not a powered shell); 5-yr; customers unnamed; MW basis unstated in Bitdeer's releases ('critical IT' per secondary sources only, P). Source: GPU Market agent market/contract_economics.xlsx MidTerm_20M_Search (re-read Bitdeer PR 9/29/26).</w:t>
      </w:r>
    </w:p>
    <w:p>
      <w:pPr>
        <w:spacing w:after="0"/>
      </w:pPr>
      <w:r>
        <w:rPr>
          <w:b w:val="0"/>
          <w:color w:val="303030"/>
          <w:sz w:val="12"/>
        </w:rPr>
        <w:t xml:space="preserve">HEADLINE: Only one contract with disclosed MW reaches $20M/MW: Bitdeer, ~15 MW, a &lt;= $22.4M ceiling, basis from secondary sources. COMP BAND unchanged at $9.7-16.7M per MW-yr (low IREN-Microsoft 9.7, IT; top Lambda-Anthropic 16.7, P, Medium); Bitdeer's ceiling sits outside the band as a near-miss (model Drivers!B13). </w:t>
      </w:r>
    </w:p>
    <w:p>
      <w:pPr>
        <w:spacing w:after="0"/>
      </w:pPr>
      <w:r>
        <w:rPr>
          <w:b w:val="0"/>
          <w:color w:val="303030"/>
          <w:sz w:val="12"/>
        </w:rPr>
        <w:t>¹⁰ Nebius-Microsoft $14.49M per IT MW [E, house] = model Contracts!E12 = $17,392.9M / (5 x 240 IT MW est.); agrees with the Drivers 14.5 input (Inputs!F111). No MW stated by Nebius/Microsoft.</w:t>
      </w:r>
    </w:p>
    <w:p>
      <w:pPr>
        <w:spacing w:after="0"/>
      </w:pPr>
      <w:r>
        <w:rPr>
          <w:b w:val="0"/>
          <w:color w:val="303030"/>
          <w:sz w:val="12"/>
        </w:rPr>
        <w:t>Tags: R = reported/primary (filing, company release, earnings call, regulator record); D = derived by us from R inputs; P = press-only, or derived with any press input; E = estimate (team model/alt-data); n/d = not disclosed. Red bold = print at or above $20M per MW. Active = in service as evidenced (site appendices: Denton, Childress, Abilene, Port Washington). Nebius Q3'26 results ~Nov 10 (est.). Full sources/URLs: peers/benchmark/peer_benchmark.xlsx (Sources tab).</w:t>
      </w:r>
    </w:p>
    <w:sectPr w:rsidR="00FC693F" w:rsidRPr="0006063C" w:rsidSect="00034616">
      <w:pgSz w:w="15840" w:h="12240" w:orient="landscape"/>
      <w:pgMar w:top="403" w:right="432" w:bottom="360" w:left="43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Arial" w:hAnsi="Arial" w:eastAsia="Arial"/>
      <w:sz w:val="1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