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8C"/>
          <w:sz w:val="22"/>
        </w:rPr>
        <w:t>Peer KPI appendix: Nebius vs CoreWeave, IREN, Oracle (OCI), Nscale, Lambda and Crusoe</w:t>
      </w:r>
    </w:p>
    <w:p>
      <w:pPr>
        <w:spacing w:after="60"/>
      </w:pPr>
      <w:r>
        <w:rPr>
          <w:b w:val="0"/>
          <w:i w:val="0"/>
          <w:sz w:val="13"/>
        </w:rPr>
        <w:t>$ per MW-yr, contracted vs live MW, capex per MW. As of Fri Oct 9, 2026 (ET); frozen for Sun Oct 11 finals. Read from the locked team files (comparison.xlsx, peer_benchmark.xlsx, price_or_mw.xlsx, site appendices, model v0.9e); every value tagged [R reported | D derived | P press | E estimate | n/d]; superscripts = footnotes. Not a valuation; Nebius Q3'26 results ~Nov 10 (est.).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25" w:type="dxa"/>
          <w:right w:w="25" w:type="dxa"/>
        </w:tblCellMar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c>
          <w:tcPr>
            <w:tcW w:type="dxa" w:w="1224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Company</w:t>
            </w:r>
          </w:p>
        </w:tc>
        <w:tc>
          <w:tcPr>
            <w:tcW w:type="dxa" w:w="2520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Named-contract $M per MW-yr¹</w:t>
            </w:r>
          </w:p>
        </w:tc>
        <w:tc>
          <w:tcPr>
            <w:tcW w:type="dxa" w:w="1944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Company $/MW print ($M)³</w:t>
            </w:r>
          </w:p>
        </w:tc>
        <w:tc>
          <w:tcPr>
            <w:tcW w:type="dxa" w:w="1037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Rev / active MW (K01)⁴</w:t>
            </w:r>
          </w:p>
        </w:tc>
        <w:tc>
          <w:tcPr>
            <w:tcW w:type="dxa" w:w="1368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Fwd rev / billed MW⁴</w:t>
            </w:r>
          </w:p>
        </w:tc>
        <w:tc>
          <w:tcPr>
            <w:tcW w:type="dxa" w:w="112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Contracted MW⁶</w:t>
            </w:r>
          </w:p>
        </w:tc>
        <w:tc>
          <w:tcPr>
            <w:tcW w:type="dxa" w:w="1037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Live MW⁶</w:t>
            </w:r>
          </w:p>
        </w:tc>
        <w:tc>
          <w:tcPr>
            <w:tcW w:type="dxa" w:w="89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Contracted / live</w:t>
            </w:r>
          </w:p>
        </w:tc>
        <w:tc>
          <w:tcPr>
            <w:tcW w:type="dxa" w:w="89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Capex / MW (K13)⁹</w:t>
            </w:r>
          </w:p>
        </w:tc>
        <w:tc>
          <w:tcPr>
            <w:tcW w:type="dxa" w:w="950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Net PP&amp;E / MW (K14)⁹</w:t>
            </w:r>
          </w:p>
        </w:tc>
        <w:tc>
          <w:tcPr>
            <w:tcW w:type="dxa" w:w="1843"/>
            <w:shd w:val="clear" w:color="auto" w:fill="1F4E8C"/>
          </w:tcPr>
          <w:p>
            <w:r>
              <w:rPr>
                <w:b/>
                <w:color w:val="FFFFFF"/>
                <w:sz w:val="12"/>
              </w:rPr>
              <w:t>MW notes (key site)</w:t>
            </w:r>
          </w:p>
        </w:tc>
      </w:tr>
      <w:tr>
        <w:tc>
          <w:tcPr>
            <w:tcW w:type="dxa" w:w="1224"/>
            <w:shd w:val="clear" w:color="auto" w:fill="E8EEF7"/>
          </w:tcPr>
          <w:p>
            <w:r>
              <w:rPr>
                <w:b/>
                <w:color w:val="1F4E8C"/>
                <w:sz w:val="12"/>
              </w:rPr>
              <w:t>Nebius</w:t>
            </w:r>
          </w:p>
        </w:tc>
        <w:tc>
          <w:tcPr>
            <w:tcW w:type="dxa" w:w="2520"/>
            <w:shd w:val="clear" w:color="auto" w:fill="E8EEF7"/>
          </w:tcPr>
          <w:p>
            <w:r>
              <w:rPr>
                <w:b w:val="0"/>
                <w:sz w:val="12"/>
              </w:rPr>
              <w:t>14.49 Microsoft [E, house]; Meta n/d²,¹¹</w:t>
            </w:r>
          </w:p>
        </w:tc>
        <w:tc>
          <w:tcPr>
            <w:tcW w:type="dxa" w:w="1944"/>
            <w:shd w:val="clear" w:color="auto" w:fill="E8EEF7"/>
          </w:tcPr>
          <w:p>
            <w:r>
              <w:rPr>
                <w:b w:val="0"/>
                <w:sz w:val="12"/>
              </w:rPr>
              <w:t>20–25 (Q2'26 deals); &gt;40 mgmt comment; base ~12 [R]</w:t>
            </w:r>
          </w:p>
        </w:tc>
        <w:tc>
          <w:tcPr>
            <w:tcW w:type="dxa" w:w="1037"/>
            <w:shd w:val="clear" w:color="auto" w:fill="E8EEF7"/>
          </w:tcPr>
          <w:p>
            <w:r>
              <w:rPr>
                <w:b w:val="0"/>
                <w:sz w:val="12"/>
              </w:rPr>
              <w:t>11.92 [E] (Jun-26)</w:t>
            </w:r>
          </w:p>
        </w:tc>
        <w:tc>
          <w:tcPr>
            <w:tcW w:type="dxa" w:w="1368"/>
            <w:shd w:val="clear" w:color="auto" w:fill="E8EEF7"/>
          </w:tcPr>
          <w:p>
            <w:r>
              <w:rPr>
                <w:b w:val="0"/>
                <w:sz w:val="12"/>
              </w:rPr>
              <w:t>23.13 all customers [D]; ex-MSFT hurdle 27.63 [D]⁵</w:t>
            </w:r>
          </w:p>
        </w:tc>
        <w:tc>
          <w:tcPr>
            <w:tcW w:type="dxa" w:w="1123"/>
            <w:shd w:val="clear" w:color="auto" w:fill="E8EEF7"/>
          </w:tcPr>
          <w:p>
            <w:r>
              <w:rPr>
                <w:b w:val="0"/>
                <w:sz w:val="12"/>
              </w:rPr>
              <w:t>&gt;3,500 [R]</w:t>
            </w:r>
          </w:p>
        </w:tc>
        <w:tc>
          <w:tcPr>
            <w:tcW w:type="dxa" w:w="1037"/>
            <w:shd w:val="clear" w:color="auto" w:fill="E8EEF7"/>
          </w:tcPr>
          <w:p>
            <w:r>
              <w:rPr>
                <w:b w:val="0"/>
                <w:sz w:val="12"/>
              </w:rPr>
              <w:t>181.5→193 [E]; billed YE26 257.7/284.2, FY27 531.84/659.16 [D]</w:t>
            </w:r>
          </w:p>
        </w:tc>
        <w:tc>
          <w:tcPr>
            <w:tcW w:type="dxa" w:w="893"/>
            <w:shd w:val="clear" w:color="auto" w:fill="E8EEF7"/>
          </w:tcPr>
          <w:p>
            <w:r>
              <w:rPr>
                <w:b w:val="0"/>
                <w:sz w:val="12"/>
              </w:rPr>
              <w:t>&gt;18.1x [D]</w:t>
            </w:r>
          </w:p>
        </w:tc>
        <w:tc>
          <w:tcPr>
            <w:tcW w:type="dxa" w:w="893"/>
            <w:shd w:val="clear" w:color="auto" w:fill="E8EEF7"/>
          </w:tcPr>
          <w:p>
            <w:r>
              <w:rPr>
                <w:b w:val="0"/>
                <w:sz w:val="12"/>
              </w:rPr>
              <w:t>77.9 [E]</w:t>
            </w:r>
          </w:p>
        </w:tc>
        <w:tc>
          <w:tcPr>
            <w:tcW w:type="dxa" w:w="950"/>
            <w:shd w:val="clear" w:color="auto" w:fill="E8EEF7"/>
          </w:tcPr>
          <w:p>
            <w:r>
              <w:rPr>
                <w:b w:val="0"/>
                <w:sz w:val="12"/>
              </w:rPr>
              <w:t>67.6 [E]</w:t>
            </w:r>
          </w:p>
        </w:tc>
        <w:tc>
          <w:tcPr>
            <w:tcW w:type="dxa" w:w="1843"/>
            <w:shd w:val="clear" w:color="auto" w:fill="E8EEF7"/>
          </w:tcPr>
          <w:p>
            <w:r>
              <w:rPr>
                <w:b w:val="0"/>
                <w:sz w:val="12"/>
              </w:rPr>
              <w:t>IT/energized; contracted &gt;3.5 GW is a lower bound (5 GW YE26 target) [R]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CoreWeave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n/d (no MW on any named deal)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~40 (3–6-mo deals)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6.87 [D] (Jun-26)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11.29 [E] (Street FY27 / base avg MW 2,325)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3,700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1,500 [R]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2.5x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20.0 [D]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31.2 [D]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IT-like active; ~4,200 contracted Aug-11 [R]; Denton ~260 IT live [D]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IREN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9.7–11.3 (Microsoft IT; NVIDIA stated) [D]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&gt;20 (3-yr); ~25 unsigned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7.05 [D] (Jun-26)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13.33 [D (R/R)] (YE26 ARR $4B / 300 IT MW)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260 [D]⁸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~40 [R]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6.5x [D]⁸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IT (AI); Childress ~75 IT active Oct [D, site]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Oracle OCI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13.3 stated / 16.0 IT read (OpenAI) [P]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14.42 [D/E] (OCI annualized / ~2,050 cum. MW)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&gt;10,000 [R]⁷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~2,050 [E]⁷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&gt;4.9x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46.4 [E]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cum. delivered (likely gross); '&gt;10 GW secured'; Port Washington 0 live [R]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Nscale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11.7–16.2 (Narvik D; MSFT 13.4 P; Anthropic P) [D / P]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3.47 [D] (2026-06-30)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1,370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≤81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16.9x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70.7 [D]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IT; Monarch 460 IT contracted / 0 live [R]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Lambda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16.7 Anthropic (band top) [P]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9.70 [D (P inputs)] (2025-06-30)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47 [P]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unstated; Beacon Point ~350 [P]; KC ~12 IT live [E]</w:t>
            </w:r>
          </w:p>
        </w:tc>
      </w:tr>
      <w:tr>
        <w:tc>
          <w:tcPr>
            <w:tcW w:type="dxa" w:w="1224"/>
          </w:tcPr>
          <w:p>
            <w:r>
              <w:rPr>
                <w:b/>
                <w:color w:val="1F4E8C"/>
                <w:sz w:val="12"/>
              </w:rPr>
              <w:t>Crusoe</w:t>
            </w:r>
          </w:p>
        </w:tc>
        <w:tc>
          <w:tcPr>
            <w:tcW w:type="dxa" w:w="2520"/>
          </w:tcPr>
          <w:p>
            <w:r>
              <w:rPr>
                <w:b w:val="0"/>
                <w:sz w:val="12"/>
              </w:rPr>
              <w:t>n/d (no value with MW)</w:t>
            </w:r>
          </w:p>
        </w:tc>
        <w:tc>
          <w:tcPr>
            <w:tcW w:type="dxa" w:w="1944"/>
          </w:tcPr>
          <w:p>
            <w:r>
              <w:rPr>
                <w:b w:val="0"/>
                <w:sz w:val="12"/>
              </w:rPr>
              <w:t>~23.3 per gross MW, whole term (not /yr) [D]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2.00 [E] (2026-09-17)</w:t>
            </w:r>
          </w:p>
        </w:tc>
        <w:tc>
          <w:tcPr>
            <w:tcW w:type="dxa" w:w="1368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b w:val="0"/>
                <w:sz w:val="12"/>
              </w:rPr>
              <w:t>6,000 [R]</w:t>
            </w:r>
          </w:p>
        </w:tc>
        <w:tc>
          <w:tcPr>
            <w:tcW w:type="dxa" w:w="1037"/>
          </w:tcPr>
          <w:p>
            <w:r>
              <w:rPr>
                <w:b w:val="0"/>
                <w:sz w:val="12"/>
              </w:rPr>
              <w:t>~1,000 [R]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6.0x [D]</w:t>
            </w:r>
          </w:p>
        </w:tc>
        <w:tc>
          <w:tcPr>
            <w:tcW w:type="dxa" w:w="893"/>
          </w:tcPr>
          <w:p>
            <w:r>
              <w:rPr>
                <w:b w:val="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b w:val="0"/>
                <w:sz w:val="12"/>
              </w:rPr>
              <w:t>12.5 [D]</w:t>
            </w:r>
          </w:p>
        </w:tc>
        <w:tc>
          <w:tcPr>
            <w:tcW w:type="dxa" w:w="1843"/>
          </w:tcPr>
          <w:p>
            <w:r>
              <w:rPr>
                <w:b w:val="0"/>
                <w:sz w:val="12"/>
              </w:rPr>
              <w:t>GROSS; Abilene 618 IT live of 1.2 GW gross [D on R]</w:t>
            </w:r>
          </w:p>
        </w:tc>
      </w:tr>
      <w:tr>
        <w:tc>
          <w:tcPr>
            <w:tcW w:type="dxa" w:w="1224"/>
            <w:shd w:val="clear" w:color="auto" w:fill="F2F2F2"/>
          </w:tcPr>
          <w:p>
            <w:r>
              <w:rPr>
                <w:b/>
                <w:sz w:val="12"/>
              </w:rPr>
              <w:t>Peer median</w:t>
            </w:r>
          </w:p>
        </w:tc>
        <w:tc>
          <w:tcPr>
            <w:tcW w:type="dxa" w:w="2520"/>
            <w:shd w:val="clear" w:color="auto" w:fill="F2F2F2"/>
          </w:tcPr>
          <w:p>
            <w:r>
              <w:rPr>
                <w:b/>
                <w:sz w:val="12"/>
              </w:rPr>
              <w:t>band 9.7–16.7 (Nebius excl.)¹</w:t>
            </w:r>
          </w:p>
        </w:tc>
        <w:tc>
          <w:tcPr>
            <w:tcW w:type="dxa" w:w="1944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1037"/>
            <w:shd w:val="clear" w:color="auto" w:fill="F2F2F2"/>
          </w:tcPr>
          <w:p>
            <w:r>
              <w:rPr>
                <w:b/>
                <w:sz w:val="12"/>
              </w:rPr>
              <w:t>6.87 [D]</w:t>
            </w:r>
          </w:p>
        </w:tc>
        <w:tc>
          <w:tcPr>
            <w:tcW w:type="dxa" w:w="1368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1123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1037"/>
            <w:shd w:val="clear" w:color="auto" w:fill="F2F2F2"/>
          </w:tcPr>
          <w:p>
            <w:r>
              <w:rPr>
                <w:b/>
                <w:sz w:val="12"/>
              </w:rPr>
            </w:r>
          </w:p>
        </w:tc>
        <w:tc>
          <w:tcPr>
            <w:tcW w:type="dxa" w:w="893"/>
            <w:shd w:val="clear" w:color="auto" w:fill="F2F2F2"/>
          </w:tcPr>
          <w:p>
            <w:r>
              <w:rPr>
                <w:b/>
                <w:sz w:val="12"/>
              </w:rPr>
              <w:t>6.0x [D]</w:t>
            </w:r>
          </w:p>
        </w:tc>
        <w:tc>
          <w:tcPr>
            <w:tcW w:type="dxa" w:w="893"/>
            <w:shd w:val="clear" w:color="auto" w:fill="F2F2F2"/>
          </w:tcPr>
          <w:p>
            <w:r>
              <w:rPr>
                <w:b/>
                <w:sz w:val="12"/>
              </w:rPr>
              <w:t>33.2 [D]</w:t>
            </w:r>
          </w:p>
        </w:tc>
        <w:tc>
          <w:tcPr>
            <w:tcW w:type="dxa" w:w="950"/>
            <w:shd w:val="clear" w:color="auto" w:fill="F2F2F2"/>
          </w:tcPr>
          <w:p>
            <w:r>
              <w:rPr>
                <w:b/>
                <w:sz w:val="12"/>
              </w:rPr>
              <w:t>50.9 [D]</w:t>
            </w:r>
          </w:p>
        </w:tc>
        <w:tc>
          <w:tcPr>
            <w:tcW w:type="dxa" w:w="1843"/>
            <w:shd w:val="clear" w:color="auto" w:fill="F2F2F2"/>
          </w:tcPr>
          <w:p>
            <w:r>
              <w:rPr>
                <w:b/>
                <w:sz w:val="12"/>
              </w:rPr>
              <w:t>comparison.xlsx sets; IREN ratio and Crusoe K14 excluded</w:t>
            </w:r>
          </w:p>
        </w:tc>
      </w:tr>
      <w:tr>
        <w:tc>
          <w:tcPr>
            <w:tcW w:type="dxa" w:w="1224"/>
          </w:tcPr>
          <w:p>
            <w:r>
              <w:rPr>
                <w:i/>
                <w:color w:val="C00000"/>
                <w:sz w:val="12"/>
              </w:rPr>
              <w:t>Bitdeer AI (ref.)</w:t>
            </w:r>
          </w:p>
        </w:tc>
        <w:tc>
          <w:tcPr>
            <w:tcW w:type="dxa" w:w="2520"/>
          </w:tcPr>
          <w:p>
            <w:r>
              <w:rPr>
                <w:i/>
                <w:color w:val="C00000"/>
                <w:sz w:val="12"/>
              </w:rPr>
              <w:t>≤22.4 A201 Johor, ceiling [D, basis P]¹⁰</w:t>
            </w:r>
          </w:p>
        </w:tc>
        <w:tc>
          <w:tcPr>
            <w:tcW w:type="dxa" w:w="1944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037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368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123"/>
          </w:tcPr>
          <w:p>
            <w:r>
              <w:rPr>
                <w:i/>
                <w:color w:val="C00000"/>
                <w:sz w:val="12"/>
              </w:rPr>
              <w:t>≥15.2 of ~21.7 [R]</w:t>
            </w:r>
          </w:p>
        </w:tc>
        <w:tc>
          <w:tcPr>
            <w:tcW w:type="dxa" w:w="1037"/>
          </w:tcPr>
          <w:p>
            <w:r>
              <w:rPr>
                <w:i/>
                <w:color w:val="C00000"/>
                <w:sz w:val="12"/>
              </w:rPr>
              <w:t>0 [R]</w:t>
            </w:r>
          </w:p>
        </w:tc>
        <w:tc>
          <w:tcPr>
            <w:tcW w:type="dxa" w:w="893"/>
          </w:tcPr>
          <w:p>
            <w:r>
              <w:rPr>
                <w:i/>
                <w:color w:val="C00000"/>
                <w:sz w:val="12"/>
              </w:rPr>
              <w:t>n/m</w:t>
            </w:r>
          </w:p>
        </w:tc>
        <w:tc>
          <w:tcPr>
            <w:tcW w:type="dxa" w:w="893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950"/>
          </w:tcPr>
          <w:p>
            <w:r>
              <w:rPr>
                <w:i/>
                <w:color w:val="C00000"/>
                <w:sz w:val="12"/>
              </w:rPr>
              <w:t>n/d</w:t>
            </w:r>
          </w:p>
        </w:tc>
        <w:tc>
          <w:tcPr>
            <w:tcW w:type="dxa" w:w="1843"/>
          </w:tcPr>
          <w:p>
            <w:r>
              <w:rPr>
                <w:i/>
                <w:color w:val="C00000"/>
                <w:sz w:val="12"/>
              </w:rPr>
              <w:t>not one of the six; energized Q1'27–Q1'28</w:t>
            </w:r>
          </w:p>
        </w:tc>
      </w:tr>
    </w:tbl>
    <w:p>
      <w:pPr>
        <w:spacing w:after="0"/>
      </w:pPr>
      <w:r>
        <w:rPr>
          <w:b w:val="0"/>
          <w:i w:val="0"/>
          <w:sz w:val="6"/>
        </w:rPr>
      </w:r>
    </w:p>
    <w:p>
      <w:pPr>
        <w:spacing w:after="40"/>
      </w:pPr>
      <w:r>
        <w:rPr>
          <w:b/>
          <w:i w:val="0"/>
          <w:color w:val="1F4E8C"/>
          <w:sz w:val="13"/>
        </w:rPr>
        <w:t>NEBIUS LOCKS (model v0.9e, asserted by the build): Microsoft $14.49M per IT MW [E, house] (Contracts!E12) only · ex-MSFT hurdle $27.63M [D] · $23.13M = Street FY27 ÷ our 531.8 billed MW, all customers [D] · clear-spot $24.51M / $22.68M · turn-positive $17.05M / $16.70M · energized 181.5→193 MW [E] · billed YE26 257.7/284.2, FY27 531.84/659.16 [D] · K13 capex/MW 77.9 vs peer median 33.18 · comp band $9.7–16.7M · Bitdeer ≤$22.4M is the only disclosed-MW print ≥ $20M.</w:t>
      </w:r>
    </w:p>
    <w:p>
      <w:pPr>
        <w:spacing w:after="40"/>
      </w:pPr>
      <w:r>
        <w:rPr>
          <w:b w:val="0"/>
          <w:i w:val="0"/>
          <w:sz w:val="12"/>
        </w:rPr>
        <w:t>HEADLINES: Nebius: ex-MSFT hurdle $27.63M is ~1.7x the band top; live 193 MW vs &gt;3.5 GW contracted (18.1x); capex/MW 77.9 vs median 33.2. | CoreWeave: no MW on named deals; ~$40M print is 3–6-mo pricing; 2.5x contracted/live; lowest capex/MW (20.0). | IREN: named 9.7–11.3 (band floor); &gt;$20M only on 3-yr deals; 260 vs ~40 MW. | Oracle: OpenAI 13.3–16.0 [P]; &gt;10 GW secured vs ~2,050 delivered; capex/MW 46.4. | Nscale: 11.7–16.2; ~17x contracted/live (≤81 live). | Lambda: Anthropic 16.7 sets the band top [P]; company MW n/d. | Crusoe: no per-deal $/MW; ~$23.3M is whole-term per gross MW; 6x.</w:t>
      </w:r>
    </w:p>
    <w:p>
      <w:r>
        <w:rPr>
          <w:b/>
          <w:sz w:val="11"/>
        </w:rPr>
        <w:t xml:space="preserve">1 </w:t>
      </w:r>
      <w:r>
        <w:rPr>
          <w:sz w:val="11"/>
        </w:rPr>
        <w:t>Named contracts = TCV ÷ term ÷ MW, IT MW where disclosed, else stated MW (comparison.xlsx Contracts_$MWyr cols V/W = peer_benchmark.xlsx Contracts col K, asserted equal). Comp band $9.7–16.7M = IREN-Microsoft 9.7 to Lambda-Anthropic 16.7 (P, Medium; memo set P1/NEW1/P2/O1/NEW2/O2); Nebius rows excluded.</w:t>
      </w:r>
    </w:p>
    <w:p>
      <w:r>
        <w:rPr>
          <w:b/>
          <w:sz w:val="11"/>
        </w:rPr>
        <w:t xml:space="preserve">2 </w:t>
      </w:r>
      <w:r>
        <w:rPr>
          <w:sz w:val="11"/>
        </w:rPr>
        <w:t>Nebius-Microsoft $14.49M per IT MW [E, house] = model Contracts!E12 = 17,392.9 / (5 x 240 IT MW est.); neither company states the contract MW (300 MW = Vineland site size). Agrees with the Drivers 14.5 input.</w:t>
      </w:r>
    </w:p>
    <w:p>
      <w:r>
        <w:rPr>
          <w:b/>
          <w:sz w:val="11"/>
        </w:rPr>
        <w:t xml:space="preserve">3 </w:t>
      </w:r>
      <w:r>
        <w:rPr>
          <w:sz w:val="11"/>
        </w:rPr>
        <w:t>Company prints are not single contracts; MW basis undefined; short tenors and GPU-inclusive pricing. Nebius &gt;$40M = management comment on Q3-to-date short-term pricing (Q2'26 letter KPI chart; CEO on the Aug 12 2026 call), not reported Q3. Crusoe ~$23.3M is whole-term TCV per GROSS MW, not per year.</w:t>
      </w:r>
    </w:p>
    <w:p>
      <w:r>
        <w:rPr>
          <w:b/>
          <w:sz w:val="11"/>
        </w:rPr>
        <w:t xml:space="preserve">4 </w:t>
      </w:r>
      <w:r>
        <w:rPr>
          <w:sz w:val="11"/>
        </w:rPr>
        <w:t>K01 = latest-quarter segment revenue x4 ÷ period-end active MW (comparison.xlsx; bases differ: Crusoe FY26E revenue / ~1 GW gross; Lambda Q2'25 press). Fwd = price_or_mw.xlsx Implied_Price (FY27 or run-rate ÷ avg billed MW).</w:t>
      </w:r>
    </w:p>
    <w:p>
      <w:r>
        <w:rPr>
          <w:b/>
          <w:sz w:val="11"/>
        </w:rPr>
        <w:t xml:space="preserve">5 </w:t>
      </w:r>
      <w:r>
        <w:rPr>
          <w:sz w:val="11"/>
        </w:rPr>
        <w:t>Nebius hurdles (model v0.9e) are REQUIRED revenue per billed IT MW: ex-MSFT $27.63M (Drivers!B9, peer comparator); $23.13M = Street FY27 ÷ our 531.8 billed MW, all customers [D] (Drivers!B10, memo); clear-spot $24.51M / $22.68M (Drivers!B6 / Debate_Grid!A18); turn-positive $17.05M / $16.70M (Debate_Grid!A13 / A10).</w:t>
      </w:r>
    </w:p>
    <w:p>
      <w:r>
        <w:rPr>
          <w:b/>
          <w:sz w:val="11"/>
        </w:rPr>
        <w:t xml:space="preserve">6 </w:t>
      </w:r>
      <w:r>
        <w:rPr>
          <w:sz w:val="11"/>
        </w:rPr>
        <w:t>MW bases are mixed (IT vs gross). Nebius live = energized 181.5 -&gt; 193 MW (Q1 -&gt; Q2'26, Capacity base case, E); contracted &gt;3.5 GW is a lower bound (R). Billed IT MW (model v0.9e): YE26 257.7 / 284.2; FY27 avg 531.84 / 659.16.</w:t>
      </w:r>
    </w:p>
    <w:p>
      <w:r>
        <w:rPr>
          <w:b/>
          <w:sz w:val="11"/>
        </w:rPr>
        <w:t xml:space="preserve">7 </w:t>
      </w:r>
      <w:r>
        <w:rPr>
          <w:sz w:val="11"/>
        </w:rPr>
        <w:t>Oracle live ~2,050 = cumulative AI MW delivered since Jun-25 at Aug-26 (E; peers/oracle M07; price_or_mw Implied_Price r16; peer_benchmark). comparison.xlsx Chart_Data shows 1,200 = May-26 vintage of the same series (its K13 period). Contracted '&gt;10 GW secured' (FQ1 FY27 call) is a lower bound -&gt; ratio shown as a lower bound.</w:t>
      </w:r>
    </w:p>
    <w:p>
      <w:r>
        <w:rPr>
          <w:b/>
          <w:sz w:val="11"/>
        </w:rPr>
        <w:t xml:space="preserve">8 </w:t>
      </w:r>
      <w:r>
        <w:rPr>
          <w:sz w:val="11"/>
        </w:rPr>
        <w:t>IREN contracted ~260 IT (Microsoft 200 + NVIDIA ~60, D) vs ~40 MW AI operating at Jun-30 (R); ratio computed in this pack (comparison K04 has IREN n/d) and kept out of the median. Childress site ~75 IT active in Oct (sites appendix, D).</w:t>
      </w:r>
    </w:p>
    <w:p>
      <w:r>
        <w:rPr>
          <w:b/>
          <w:sz w:val="11"/>
        </w:rPr>
        <w:t xml:space="preserve">9 </w:t>
      </w:r>
      <w:r>
        <w:rPr>
          <w:sz w:val="11"/>
        </w:rPr>
        <w:t>K13 = trailing-4Q cash capex ÷ trailing-4Q new active MW; K14 = net PP&amp;E ÷ active MW (comparison.xlsx). Nebius capex funds not-yet-live MW (Worse vs median). Crusoe K14 = Abilene JV shell+power only, excluded from the median.</w:t>
      </w:r>
    </w:p>
    <w:p>
      <w:r>
        <w:rPr>
          <w:b/>
          <w:sz w:val="11"/>
        </w:rPr>
        <w:t xml:space="preserve">10 </w:t>
      </w:r>
      <w:r>
        <w:rPr>
          <w:sz w:val="11"/>
        </w:rPr>
        <w:t>Bitdeer A201 &lt;= $22.4M is a CEILING (contracted MW is a floor: &gt;70% of ~21.7 MW; 15.7 if 100%); MW basis P. It is the only contract with disclosed MW at &gt;= $20M/MW (peer_benchmark Contracts; comparison has none).</w:t>
      </w:r>
    </w:p>
    <w:p>
      <w:r>
        <w:rPr>
          <w:b/>
          <w:sz w:val="11"/>
        </w:rPr>
        <w:t xml:space="preserve">11 </w:t>
      </w:r>
      <w:r>
        <w:rPr>
          <w:sz w:val="11"/>
        </w:rPr>
        <w:t>Nebius-Meta #1 shown n/d: filings state no MW. comparison.xlsx Contracts_$MWyr N2 carries 11.52 on an unsourced ~50 MW (E, low confidence); peer_benchmark shows n/d. Not used.</w:t>
      </w:r>
    </w:p>
    <w:p>
      <w:pPr>
        <w:spacing w:after="0"/>
      </w:pPr>
      <w:r>
        <w:rPr>
          <w:b w:val="0"/>
          <w:i w:val="0"/>
          <w:color w:val="606060"/>
          <w:sz w:val="11"/>
        </w:rPr>
        <w:t>Sources: comparison.xlsx; benchmark/peer_benchmark.xlsx (+ its Sources keys: SEC 8-K/6-K/S-1, company PRs, WSJ/Reuters/Bloomberg); price_or_mw.xlsx; sites/sites.xlsx + site appendices; model/nebius_model.xlsx v0.9e; capacity/nebius_capacity.xlsx. Full list: peer_kpi_appendix.xlsx Sources tab.</w:t>
      </w:r>
    </w:p>
    <w:p>
      <w:r>
        <w:br w:type="page"/>
      </w:r>
    </w:p>
    <w:p>
      <w:pPr>
        <w:spacing w:after="40"/>
      </w:pPr>
      <w:r>
        <w:rPr>
          <w:b/>
          <w:i w:val="0"/>
          <w:color w:val="1F4E8C"/>
          <w:sz w:val="18"/>
        </w:rPr>
        <w:t>Charts: $ per MW-yr vs Nebius hurdles; contracted vs live MW; capex per MW vs peer median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3731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sd_per_mw_y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7316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3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8954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contracted_vs_live_m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895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8954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capex_per_m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895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  <w:r>
        <w:rPr>
          <w:b w:val="0"/>
          <w:i w:val="0"/>
          <w:color w:val="606060"/>
          <w:sz w:val="11"/>
        </w:rPr>
        <w:t>All values from the table on page 1 (same files, same tags). Charts are context for the appendix table, not new estimates.</w:t>
      </w:r>
    </w:p>
    <w:sectPr w:rsidR="00FC693F" w:rsidRPr="0006063C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