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1F4E8C"/>
          <w:sz w:val="25"/>
        </w:rPr>
        <w:t>Nebius (NBIS) vs. AI-cloud peers: where the unit economics are better or worse, and why</w:t>
      </w:r>
    </w:p>
    <w:p>
      <w:pPr>
        <w:spacing w:after="60" w:before="0"/>
      </w:pPr>
      <w:r>
        <w:rPr>
          <w:i w:val="0"/>
          <w:color w:val="555555"/>
          <w:sz w:val="14"/>
        </w:rPr>
        <w:t>To: NBIS research team   |   From: Aadit Prayag   |   Thu Oct 8, 2026 (refresh of the Oct 4 draft)   |   Data: Q2'26 (Jun-26) unless noted; peers at latest available period   |   Source: peers/comparison.xlsx (model v0.9e locks; Sites rebuilt Oct 8 ~11:15 PM ET to match the four peer site appendices)</w:t>
      </w:r>
    </w:p>
    <w:p>
      <w:pPr>
        <w:keepNext/>
        <w:spacing w:before="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BOTTOM LINE</w:t>
      </w:r>
    </w:p>
    <w:p>
      <w:pPr>
        <w:spacing w:after="40"/>
      </w:pPr>
      <w:r>
        <w:rPr>
          <w:b/>
          <w:i w:val="0"/>
        </w:rPr>
        <w:t xml:space="preserve">Clearest beat: revenue density. </w:t>
      </w:r>
      <w:r>
        <w:rPr>
          <w:b w:val="0"/>
          <w:i w:val="0"/>
        </w:rPr>
        <w:t xml:space="preserve">Nebius earns $13.06M per average billed IT MW (K02b, E) vs. $8.24M at CoreWeave, and $12.28M per average active MW (K02) vs. a $9.36M peer median (CoreWeave 8.24, IREN 10.48). It also leads on adj. EBITDA per MW ($6.10M vs. $4.83M at CoreWeave), realized $/GPU-hr ($3.03 vs. $1.66 median, E) and top-customer share (24% vs. 36% CoreWeave, 52% Nscale). </w:t>
      </w:r>
      <w:r>
        <w:rPr>
          <w:b/>
          <w:i w:val="0"/>
        </w:rPr>
        <w:t xml:space="preserve">Clearest trail: capital intensity. </w:t>
      </w:r>
      <w:r>
        <w:rPr>
          <w:b w:val="0"/>
          <w:i w:val="0"/>
        </w:rPr>
        <w:t>Trailing-4Q cash capex per MW added is $77.9M (E) vs. $20.0M at CoreWeave (3.9x) and a $33.2M median, and 25% of contractual interest is capitalized (median 7%), because Nebius is pre-funding owned 2027 capacity. Funding cost and backlog coverage are in line (5.1% blended debt cost vs. 4.8% median; RPO 16.3x run-rate revenue vs. 14.1x). The Nebius MW denominator is a Capacity estimate, so read the density lead as directional.</w:t>
      </w:r>
    </w:p>
    <w:p>
      <w:pPr>
        <w:spacing w:after="40"/>
      </w:pPr>
      <w:r>
        <w:rPr>
          <w:b/>
          <w:i w:val="0"/>
        </w:rPr>
        <w:t xml:space="preserve">Forward bar (billed-IT basis, context only, not scored): </w:t>
      </w:r>
      <w:r>
        <w:rPr>
          <w:b w:val="0"/>
          <w:i w:val="0"/>
        </w:rPr>
        <w:t>the YE26 run-rate guide implies $27.2M per billed IT MW ($7B / 257.7 MW base) to $31.7M ($9B / 284.2 MW high). Street FY27 ex-Microsoft is $27.6M per billed MW (($12.3B - $2.64B Microsoft) / (531.8 - 182.3 Vineland billed MW-yr), model v0.9e²); that is the figure to hold against peers, whose $/MW mixes carry no $14.5M Microsoft anchor (blended $23.1M is a memo only; high path $18.7M blended / $20.3M ex-Microsoft). Peer contract prices run $9.7-16.7M per MW-yr (top: Lambda-Anthropic ~$16.7M, 6-yr, press, Medium confidence; page 3). Against today's K02b of $13.06M, the bar is roughly 2.12x on FY27 ex-Microsoft and 2.08x on the YE26 base guide (2.43x on the YE26 high path): it needs a much richer exit mix (company cites Q3 short-term deals &gt;$40M/MW), not today's pricing.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PEER BY PEER: WHERE NEBIUS IS BETTER / WORSE (SAME KPI DEFINITIONS AS THE COMPARISON)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40" w:type="dxa"/>
          <w:bottom w:w="8" w:type="dxa"/>
          <w:right w:w="40" w:type="dxa"/>
        </w:tblCellMar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1123"/>
        <w:gridCol w:w="4392"/>
        <w:gridCol w:w="4147"/>
        <w:gridCol w:w="993"/>
      </w:tblGrid>
      <w:tr>
        <w:trPr>
          <w:cantSplit/>
        </w:trPr>
        <w:tc>
          <w:tcPr>
            <w:tcW w:type="dxa" w:w="1123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Peer</w:t>
            </w:r>
          </w:p>
        </w:tc>
        <w:tc>
          <w:tcPr>
            <w:tcW w:type="dxa" w:w="4392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Nebius better</w:t>
            </w:r>
          </w:p>
        </w:tc>
        <w:tc>
          <w:tcPr>
            <w:tcW w:type="dxa" w:w="4147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Nebius worse</w:t>
            </w:r>
          </w:p>
        </w:tc>
        <w:tc>
          <w:tcPr>
            <w:tcW w:type="dxa" w:w="994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Net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CoreWeave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Rev/billed IT MW 13.06 vs 8.24; adj. EBITDA/MW 6.10 vs 4.83; top customer 24% vs 36%; debt cost 5.1% vs 8.4%; RPO cover 16.3x vs 10.1x; life 5 vs 6 yrs (implied 5.71 vs 6.47).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T4Q capex/MW added 77.9 vs 20.0; net PP&amp;E/MW 67.6 vs 31.2; capitalized interest 25% vs 13%; RPO within 24m 36% vs 41%; contracted/active 18.1x vs 2.5x.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density. Trail: capex/MW.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IREN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Rev/avg MW 12.28 vs 10.48 (IREN Sep-25, E); $/GPU-hr 3.03 vs 1.66; incremental rev/new MW 13.5 vs 6.8; rev/GPU hardware 0.47x vs 0.20x; debt/RPO 0.23 vs 1.51; implied life 5.71 vs 6.97.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Debt cost 5.1% vs 1.9% (convert-heavy blend; IREN's Aug-26 GPU financing is 9.0%, iren_kpis.md); RPO cover 16.3x vs 18.1x; RPO within 24m 36% vs 43.1%. Capex/MW and concentration n/d.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rev/MW. Trail: debt cost.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Oracle OCI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Incremental rev/new MW 13.5 vs 9.3 (E); RPO cover 16.3x vs 8.3x; within 24m 36% vs 29% (E); life 5 vs 6 yrs (implied 5.71 vs 7.44).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T4Q capex/MW 77.9 vs 46.4 (E; Oracle capex 100% to OCI = upper bound); 3 customers &gt;=10% vs 0; debt cost 5.1% vs 4.8%; debt/RPO 0.23 vs 0.20. Rev/MW n/d (no installed MW).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backlog cover. Trail: capex/MW, concentration.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Nscale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Rev/period-end MW 11.92 vs 3.47; adj. EBITDA/MW 6.10 vs -4.92; $/GPU-hr 3.03 vs 1.29 (E); top customer 24% vs 52%; within 24m 36% vs 16%; implied life 5.71 vs 6.38.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Gross in-service PP&amp;E/MW 32.7 vs 20.8; net PP&amp;E/MW 67.6 vs 70.7; capitalized interest 25% vs 0%; RPO cover 16.3x vs 201x (Nscale pre-ramp). Debt cost: Nscale 18.7% is legacy debt (excluded); marginal ~6.25% (E).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EBITDA/MW. Trail: PP&amp;E/MW.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Lambda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Rev/period-end MW 11.92 vs 9.70 (Lambda Q2'25, press inputs); $/GPU-hr 3.03 vs 2.09 (E); rev/GPU 26.5 vs 18.2 $K/GPU-yr.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Price realization 54% vs 70% of list (E); top &gt;=10% customers combined 59% vs 50% (Lambda Amazon+Microsoft, P). Capex, life, debt cost, RPO n/d (Lambda DDTL 6.78% R is facility-level; Nebius K29 n/d).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rev/MW. Trail: realization (directional).</w:t>
            </w:r>
          </w:p>
        </w:tc>
      </w:tr>
      <w:tr>
        <w:trPr>
          <w:cantSplit/>
        </w:trPr>
        <w:tc>
          <w:tcPr>
            <w:tcW w:type="dxa" w:w="1123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Crusoe</w:t>
            </w:r>
          </w:p>
        </w:tc>
        <w:tc>
          <w:tcPr>
            <w:tcW w:type="dxa" w:w="4392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Rev/period-end MW 11.92 vs 2.00 (E; Crusoe FY26E revenue on ~1 GW GROSS MW, landlord+cloud mix: not like-for-like).</w:t>
            </w:r>
          </w:p>
        </w:tc>
        <w:tc>
          <w:tcPr>
            <w:tcW w:type="dxa" w:w="4147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Contracted/active 18.1x vs 6.0x; evidenced-active hyperscale site: Abilene ~618 MW delivered (421-618; D on R, Oracle Sep 10; IT vs gross basis unstated) vs Vineland 57-75 MW (base 66). Net PP&amp;E/MW 12.5 is shell+power only (excluded). Most KPIs n/d.</w:t>
            </w:r>
          </w:p>
        </w:tc>
        <w:tc>
          <w:tcPr>
            <w:tcW w:type="dxa" w:w="994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Beat: rev/MW (weak comp). Trail: execution.</w:t>
            </w:r>
          </w:p>
        </w:tc>
      </w:tr>
    </w:tbl>
    <w:p>
      <w:pPr>
        <w:spacing w:after="20" w:before="0"/>
      </w:pPr>
      <w:r>
        <w:rPr>
          <w:i w:val="0"/>
          <w:color w:val="555555"/>
          <w:sz w:val="13"/>
        </w:rPr>
        <w:t>$M/MW-yr unless noted; capex and PP&amp;E in $M/MW. Nebius MW = Capacity estimate (E). K02b = revenue per average BILLED IT MW (Nebius 176.1 IT MW; CoreWeave K02b = K02, active ~ billed); other peers publish no billed-MW series (n/d). Flags and medians: comparison.xlsx Ranking; full scorecard on page 3. ²FY27 billed IT MW = team model v0.9e (source of truth; Drivers B34/C34): 531.8 base / 659.2 high, engine-linked (non-Vineland path + Vineland 182.3 billed MW-yr = Microsoft FY27 revenue $2,643.8M / $14.5M). Today's K02b (13.06) is blended, i.e. includes Microsoft revenue.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2029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it_econo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029597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keepNext/>
        <w:spacing w:before="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WHY NEBIUS IS BETTER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Mix and pricing. </w:t>
      </w:r>
      <w:r>
        <w:rPr>
          <w:b w:val="0"/>
          <w:i w:val="0"/>
        </w:rPr>
        <w:t>Realized $3.03/GPU-hr (E) against a fleet-weighted list of $5.61 is a 54% price-realization index, vs. 18% at CoreWeave (list $9.20) and 70% at Lambda (E, Q2'25). CoreWeave's book is dominated by long-dated reserved hyperscaler pricing; more of Nebius's revenue is near list (our inference; the $/GPU-hr also includes non-GPU-hour revenue). Q2'26 'landmark' deals averaged $20-25M ACV per MW (company, MW basis unstated) vs. a 2026 base of ~$12M/MW.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Young, Blackwell-heavy fleet; little dilution yet. </w:t>
      </w:r>
      <w:r>
        <w:rPr>
          <w:b w:val="0"/>
          <w:i w:val="0"/>
        </w:rPr>
        <w:t>Revenue per $ of GPU hardware is 0.47x vs. 0.34x at CoreWeave and 0.20x at IREN; incremental revenue per new MW is $13.5M vs. a $6.8M median. Timing flatters Nebius: energized 181.5 → 193 MW in Q2'26 (Estimated, Capacity base case), not a growth signal: +11.5 MW is small next to the gap between the 800 MW-1 GW YE26 connected target (company) and our 257.7 MW YE26 billed IT path (E). CoreWeave's new MW bill with a lag.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Owned sites show up in EBITDA per MW. </w:t>
      </w:r>
      <w:r>
        <w:rPr>
          <w:b w:val="0"/>
          <w:i w:val="0"/>
        </w:rPr>
        <w:t>Adj. EBITDA per average MW $6.10M (E) vs. $4.83M at CoreWeave, which leases shells at ~$1.8-1.9M per MW-yr (Applied Digital, Galaxy facility leases) inside operating cost. Nebius's owned capacity moves that cost into capex and depreciation.</w:t>
      </w:r>
    </w:p>
    <w:p>
      <w:pPr>
        <w:pStyle w:val="ListBullet"/>
        <w:spacing w:after="20"/>
        <w:ind w:left="230" w:hanging="173"/>
      </w:pPr>
      <w:r>
        <w:rPr>
          <w:b/>
          <w:i w:val="0"/>
        </w:rPr>
        <w:t xml:space="preserve">Conservative depreciation and broader customer base. </w:t>
      </w:r>
      <w:r>
        <w:rPr>
          <w:b w:val="0"/>
          <w:i w:val="0"/>
        </w:rPr>
        <w:t>5-year GPU/server life (from 4 in 2026) vs. 6 at CoreWeave and Oracle; implied life 5.71 yrs vs. 6.72 median (CoreWeave 6.47 after the Oct 8 K18 fix). Top customer 24% (then 21%, 14%; 59% combined) vs. CoreWeave 36%/26% (72% combined).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WHY NEBIUS IS WORSE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Capex per MW added $77.9M vs. $33.2M median. </w:t>
      </w:r>
      <w:r>
        <w:rPr>
          <w:b w:val="0"/>
          <w:i w:val="0"/>
        </w:rPr>
        <w:t>Mostly timing: $7.8B of PP&amp;E was not yet in use at Jun-26 (2027 capacity), and Nebius buys land and builds shells and substations where CoreWeave leases. On CoreWeave's in-service definition (K12) Nebius FY25 is $19.7M/MW vs. $18.7M: in line, so the gap is pre-funding, not overpaying. Gross in-service PP&amp;E per MW is still higher ($32.7M vs. $24.0M median): owned infrastructure plus costlier GPUs per MW.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Capitalized interest 25% of contractual interest (median 7%). </w:t>
      </w:r>
      <w:r>
        <w:rPr>
          <w:b w:val="0"/>
          <w:i w:val="0"/>
        </w:rPr>
        <w:t>$40.2M capitalized vs. $119.1M reported Q2'26 interest, so P&amp;L interest understates the cost of carry by about a third; it returns as depreciation when those assets go live.</w:t>
      </w:r>
    </w:p>
    <w:p>
      <w:pPr>
        <w:pStyle w:val="ListBullet"/>
        <w:spacing w:after="20"/>
        <w:ind w:left="230" w:hanging="173"/>
      </w:pPr>
      <w:r>
        <w:rPr>
          <w:b/>
          <w:i w:val="0"/>
        </w:rPr>
        <w:t xml:space="preserve">Execution. </w:t>
      </w:r>
      <w:r>
        <w:rPr>
          <w:b w:val="0"/>
          <w:i w:val="0"/>
        </w:rPr>
        <w:t>Vineland has ~66 MW (range 57-75) energized of 300 MW contracted (Yellow/Red): 62 rented gensets with a ~107 MW IT ceiling, a $1.07M NJDEP fine with a permit deadline ~early/mid Nov, and stop-construction orders not publicly lifted. Contracted/active is 18.1x vs. 2.5x at CoreWeave; only CoreWeave Denton (~260 MW) and Crusoe Abilene (~618 MW delivered per Oracle Sep 10, D on R; range 421-618; IT vs gross basis unstated) show hundreds of evidenced-active MW.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IN LINE: FUNDING AND BACKLOG</w:t>
      </w:r>
    </w:p>
    <w:p>
      <w:pPr>
        <w:spacing w:after="20" w:before="0"/>
      </w:pPr>
      <w:r>
        <w:rPr>
          <w:i w:val="0"/>
        </w:rPr>
        <w:t>Blended debt cost 5.1% vs. 4.8% median (CoreWeave 8.4%, Oracle 4.8%, IREN 1.9%); implied cash cost 5.6% vs. 6.1%. Marginal secured debt costs more across the group (CoreWeave ~9-10%, IREN 9.0%, Lambda DDTL 6.78%), so owned-site funding will likely cost more than the blend. RPO is 16.3x run-rate revenue (14.1x median) with 36% due within 24 months (35%); debt/RPO 0.23x vs. 0.27x. The Microsoft anchor works out to about $14.49M per IT MW-yr on our house estimate ($17.4B over five years on ~240 IT MW, model Contracts!E12; neither company states the MW), vs. IREN-Microsoft $9.7M, Nscale-Microsoft $13.4M, Nscale-Anthropic $16.2M and Lambda-Anthropic $16.7M (band top; P, Medium): mid-pack, so today's density lead comes from realized mix, not a richer anchor.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SHARE-COUNT CONVENTION (DEBT VS. IF-CONVERTED)</w:t>
      </w:r>
    </w:p>
    <w:p>
      <w:pPr>
        <w:spacing w:after="20" w:before="0"/>
      </w:pPr>
      <w:r>
        <w:rPr>
          <w:i w:val="0"/>
        </w:rPr>
        <w:t>Primary convention at today's price: the new Feb-2030 (conv. $313.46) and Feb-2034 (conv. $324.65) notes count as DEBT while NBIS trades below their conversion prices, so FD = 358.56M with the $5.75B face in debt (at the $237.15 10/7 close both series are out of the money). If-converted (price &gt;= $324.65): FD = 376.65M with ALL convert debt removed from EV; between $313.46 and $324.65 only the 2030s convert (369.56M). Spread +5.05% shares (per-share values ~4.8% lower at constant equity value); model v0.9e solves each scenario under the treatment consistent with its own PT. Never mix share and debt sides. 358.34M (v0.9d, 6/30 pre-exchange) is historical only. No KPI in this memo is per-share, so nothing above moves.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WHAT WOULD CHANGE THE VIEW / WHAT TO WATCH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Nebius Q3'26 print (~Nov 10, est.; not announced by the company): </w:t>
      </w:r>
      <w:r>
        <w:rPr>
          <w:b w:val="0"/>
          <w:i w:val="0"/>
        </w:rPr>
        <w:t>a reported energized or billing MW figure would replace our (E) denominators; at the top of the 157-229 MW identified-site range, period-end revenue/MW drops to ~$10.0M (from $11.92M). Also watch capex vs. in-service additions, capitalized interest and concentration. As the YE26 build lands, revenue/MW will dilute the way CoreWeave's did.</w:t>
      </w:r>
    </w:p>
    <w:p>
      <w:pPr>
        <w:pStyle w:val="ListBullet"/>
        <w:spacing w:after="24"/>
        <w:ind w:left="230" w:hanging="173"/>
      </w:pPr>
      <w:r>
        <w:rPr>
          <w:b/>
          <w:i w:val="0"/>
        </w:rPr>
        <w:t xml:space="preserve">Vineland permits: </w:t>
      </w:r>
      <w:r>
        <w:rPr>
          <w:b w:val="0"/>
          <w:i w:val="0"/>
        </w:rPr>
        <w:t>NJDEP genset permit (~early/mid Nov), lifting of the Aug 6/10 stop-construction orders, Bloom energization.</w:t>
      </w:r>
    </w:p>
    <w:p>
      <w:pPr>
        <w:pStyle w:val="ListBullet"/>
        <w:spacing w:after="20"/>
        <w:ind w:left="230" w:hanging="173"/>
      </w:pPr>
      <w:r>
        <w:rPr>
          <w:b/>
          <w:i w:val="0"/>
        </w:rPr>
        <w:t xml:space="preserve">Peers: </w:t>
      </w:r>
      <w:r>
        <w:rPr>
          <w:b w:val="0"/>
          <w:i w:val="0"/>
        </w:rPr>
        <w:t>Nscale S-1/A (IPO talk ~Oct 15, press, unconfirmed) with active MW; whether CoreWeave's ~70% July price increase lifts revenue/MW off $8.2M; IREN Horizons 2-4; Abilene buildings 7-8 (618 of ~824 MW delivered) and the Texas data-center permit pause (TCEQ report Oct 19); any Oracle installed-MW disclosure (site appendices).</w:t>
      </w:r>
    </w:p>
    <w:p>
      <w:pPr>
        <w:keepNext/>
        <w:spacing w:before="80" w:after="30"/>
        <w:pBdr>
          <w:bottom w:val="single" w:sz="4" w:space="1" w:color="1F4E8C"/>
        </w:pBdr>
      </w:pPr>
      <w:r>
        <w:rPr>
          <w:b/>
          <w:color w:val="1F4E8C"/>
          <w:sz w:val="18"/>
        </w:rPr>
        <w:t>DATA-QUALITY NOTE</w:t>
      </w:r>
    </w:p>
    <w:p>
      <w:pPr>
        <w:spacing w:after="0" w:before="0"/>
      </w:pPr>
      <w:r>
        <w:rPr>
          <w:i w:val="0"/>
          <w:color w:val="555555"/>
          <w:sz w:val="14"/>
        </w:rPr>
        <w:t>Nebius MW is a Capacity &amp; Power estimate (mixed IT/gross; 193 MW base, identified sites 157-229); Nebius GPUs (~87k) are modeled, so every per-MW and per-GPU Nebius figure is (E). K02b uses Capacity billing IT MW, not energized or gross MW. Lambda and Crusoe are press-based, mixed-vintage points; Oracle has no installed-MW figure and capex is 100% allocated to OCI (upper bound); IREN K02 is Sep-25. Most medians rest on one to four peers. CoreWeave K18 now reads 6.47 yrs (pack bug 16.67 fixed Oct 8). Tags: R reported, P press, D derived, E estimated. Sources: peers/comparison.xlsx; crwv/iren/oracle_kpis.md; private_peers.md; sites/site_verification.md + appendix_*.pdf (Oct 8); capacity/site_verification.md; filings/fd_share_bridge.md; model/nebius_model.xlsx v0.9e (Drivers, Judge_Slide).</w:t>
      </w:r>
      <w:r>
        <w:br w:type="page"/>
      </w:r>
    </w:p>
    <w:p>
      <w:pPr>
        <w:spacing w:after="20" w:before="0"/>
      </w:pPr>
      <w:r>
        <w:rPr>
          <w:b/>
          <w:i w:val="0"/>
          <w:color w:val="1F4E8C"/>
          <w:sz w:val="21"/>
        </w:rPr>
        <w:t>One-page summary: Nebius vs. each peer (comparison.xlsx Comparison / Ranking, Q2'26 unless noted)</w:t>
      </w:r>
    </w:p>
    <w:p>
      <w:pPr>
        <w:spacing w:after="40" w:before="0"/>
      </w:pPr>
      <w:r>
        <w:rPr>
          <w:i w:val="0"/>
          <w:color w:val="555555"/>
          <w:sz w:val="13"/>
        </w:rPr>
        <w:t>Thu Oct 8, 2026  |  Flag = Ranking tab (Nebius vs. comparable-peer median; &gt;10% gap = Better/Worse)  |  value (tag)  |  n/d = not disclosed / not computable on the same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40" w:type="dxa"/>
          <w:bottom w:w="8" w:type="dxa"/>
          <w:right w:w="40" w:type="dxa"/>
        </w:tblCellMar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2808"/>
        <w:gridCol w:w="921"/>
        <w:gridCol w:w="921"/>
        <w:gridCol w:w="864"/>
        <w:gridCol w:w="892"/>
        <w:gridCol w:w="864"/>
        <w:gridCol w:w="720"/>
        <w:gridCol w:w="720"/>
        <w:gridCol w:w="720"/>
        <w:gridCol w:w="691"/>
      </w:tblGrid>
      <w:tr>
        <w:trPr>
          <w:cantSplit/>
        </w:trPr>
        <w:tc>
          <w:tcPr>
            <w:tcW w:type="dxa" w:w="2808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4"/>
              </w:rPr>
              <w:t>KPI (unit)</w:t>
            </w:r>
          </w:p>
        </w:tc>
        <w:tc>
          <w:tcPr>
            <w:tcW w:type="dxa" w:w="922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Nebius</w:t>
            </w:r>
          </w:p>
        </w:tc>
        <w:tc>
          <w:tcPr>
            <w:tcW w:type="dxa" w:w="922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CoreWeave</w:t>
            </w:r>
          </w:p>
        </w:tc>
        <w:tc>
          <w:tcPr>
            <w:tcW w:type="dxa" w:w="864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IREN</w:t>
            </w:r>
          </w:p>
        </w:tc>
        <w:tc>
          <w:tcPr>
            <w:tcW w:type="dxa" w:w="893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Oracle OCI</w:t>
            </w:r>
          </w:p>
        </w:tc>
        <w:tc>
          <w:tcPr>
            <w:tcW w:type="dxa" w:w="864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Nscale</w:t>
            </w:r>
          </w:p>
        </w:tc>
        <w:tc>
          <w:tcPr>
            <w:tcW w:type="dxa" w:w="720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Lambda</w:t>
            </w:r>
          </w:p>
        </w:tc>
        <w:tc>
          <w:tcPr>
            <w:tcW w:type="dxa" w:w="720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Crusoe</w:t>
            </w:r>
          </w:p>
        </w:tc>
        <w:tc>
          <w:tcPr>
            <w:tcW w:type="dxa" w:w="720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Peer median</w:t>
            </w:r>
          </w:p>
        </w:tc>
        <w:tc>
          <w:tcPr>
            <w:tcW w:type="dxa" w:w="691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4"/>
              </w:rPr>
              <w:t>Flag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Revenue per MW: </w:t>
            </w:r>
            <w:r>
              <w:rPr>
                <w:b w:val="0"/>
                <w:i w:val="0"/>
                <w:sz w:val="14"/>
              </w:rPr>
              <w:t>Revenue per avg BILLED IT MW (K02b)¹ [$M/MW-yr]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13.06 (E)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8.24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8.24</w:t>
            </w:r>
          </w:p>
        </w:tc>
        <w:tc>
          <w:tcPr>
            <w:tcW w:type="dxa" w:w="691"/>
            <w:shd w:val="clear" w:color="auto" w:fill="DCEFE0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Better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Revenue per MW: </w:t>
            </w:r>
            <w:r>
              <w:rPr>
                <w:b w:val="0"/>
                <w:i w:val="0"/>
                <w:sz w:val="14"/>
              </w:rPr>
              <w:t>Revenue per avg active MW (K02) [$M/MW-yr]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12.28 (E)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8.24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10.48 (E)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9.36</w:t>
            </w:r>
          </w:p>
        </w:tc>
        <w:tc>
          <w:tcPr>
            <w:tcW w:type="dxa" w:w="691"/>
            <w:shd w:val="clear" w:color="auto" w:fill="DCEFE0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Better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Capex per MW: </w:t>
            </w:r>
            <w:r>
              <w:rPr>
                <w:b w:val="0"/>
                <w:i w:val="0"/>
                <w:sz w:val="14"/>
              </w:rPr>
              <w:t>T4Q cash capex / T4Q new active MW (K13) [$M/MW]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77.9 (E)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20.0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46.4 (E)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33.2</w:t>
            </w:r>
          </w:p>
        </w:tc>
        <w:tc>
          <w:tcPr>
            <w:tcW w:type="dxa" w:w="691"/>
            <w:shd w:val="clear" w:color="auto" w:fill="F8D9D5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Worse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Capex per MW: </w:t>
            </w:r>
            <w:r>
              <w:rPr>
                <w:b w:val="0"/>
                <w:i w:val="0"/>
                <w:sz w:val="14"/>
              </w:rPr>
              <w:t>In-service additions / new MW, CRWV def. (K12) [$M/MW]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19.7 (E)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18.7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18.7</w:t>
            </w:r>
          </w:p>
        </w:tc>
        <w:tc>
          <w:tcPr>
            <w:tcW w:type="dxa" w:w="691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In line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Depreciation life: </w:t>
            </w:r>
            <w:r>
              <w:rPr>
                <w:b w:val="0"/>
                <w:i w:val="0"/>
                <w:sz w:val="14"/>
              </w:rPr>
              <w:t>Useful life, tech equipment (K16) [years]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5 (R)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 (R)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5 (R)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 (R)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5.5 (R)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5.75</w:t>
            </w:r>
          </w:p>
        </w:tc>
        <w:tc>
          <w:tcPr>
            <w:tcW w:type="dxa" w:w="691"/>
            <w:shd w:val="clear" w:color="auto" w:fill="DCEFE0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Better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Depreciation life: </w:t>
            </w:r>
            <w:r>
              <w:rPr>
                <w:b w:val="0"/>
                <w:i w:val="0"/>
                <w:sz w:val="14"/>
              </w:rPr>
              <w:t>Implied depreciable life = 1/yield (K18) [years]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5.71 (D)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6.47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6.97 (D)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7.44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6.38 (D)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6.72</w:t>
            </w:r>
          </w:p>
        </w:tc>
        <w:tc>
          <w:tcPr>
            <w:tcW w:type="dxa" w:w="691"/>
            <w:shd w:val="clear" w:color="auto" w:fill="DCEFE0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Better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Cost of funding: </w:t>
            </w:r>
            <w:r>
              <w:rPr>
                <w:b w:val="0"/>
                <w:i w:val="0"/>
                <w:sz w:val="14"/>
              </w:rPr>
              <w:t>Weighted eff. cost of debt (K28) [%]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5.1 (D)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8.4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1.9 (D)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4.8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18.7 (D)†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4.8</w:t>
            </w:r>
          </w:p>
        </w:tc>
        <w:tc>
          <w:tcPr>
            <w:tcW w:type="dxa" w:w="691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In line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Cost of funding: </w:t>
            </w:r>
            <w:r>
              <w:rPr>
                <w:b w:val="0"/>
                <w:i w:val="0"/>
                <w:sz w:val="14"/>
              </w:rPr>
              <w:t>Implied cash cost of debt (K36) [%]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5.6 (D)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7.8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1.7 (D)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4.4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22.2 (D)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6.1</w:t>
            </w:r>
          </w:p>
        </w:tc>
        <w:tc>
          <w:tcPr>
            <w:tcW w:type="dxa" w:w="691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In line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Backlog coverage: </w:t>
            </w:r>
            <w:r>
              <w:rPr>
                <w:b w:val="0"/>
                <w:i w:val="0"/>
                <w:sz w:val="14"/>
              </w:rPr>
              <w:t>RPO / annualized revenue (K23) [years]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16.3 (D)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10.1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18.1 (D)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8.3 (D)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200.6 (D)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14.1</w:t>
            </w:r>
          </w:p>
        </w:tc>
        <w:tc>
          <w:tcPr>
            <w:tcW w:type="dxa" w:w="691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In line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Backlog coverage: </w:t>
            </w:r>
            <w:r>
              <w:rPr>
                <w:b w:val="0"/>
                <w:i w:val="0"/>
                <w:sz w:val="14"/>
              </w:rPr>
              <w:t>RPO % recognized within 24m (K22) [%]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36 (R)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41 (R)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43.1 (D)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29 (E)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16 (R)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35</w:t>
            </w:r>
          </w:p>
        </w:tc>
        <w:tc>
          <w:tcPr>
            <w:tcW w:type="dxa" w:w="691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In line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spacing w:after="0"/>
              <w:jc w:val="left"/>
            </w:pPr>
            <w:r>
              <w:rPr>
                <w:b/>
                <w:i w:val="0"/>
                <w:sz w:val="14"/>
              </w:rPr>
              <w:t xml:space="preserve">Customer concentration: </w:t>
            </w:r>
            <w:r>
              <w:rPr>
                <w:b w:val="0"/>
                <w:i w:val="0"/>
                <w:sz w:val="14"/>
              </w:rPr>
              <w:t>Largest customer % of revenue (K24) [%]</w:t>
            </w:r>
          </w:p>
        </w:tc>
        <w:tc>
          <w:tcPr>
            <w:tcW w:type="dxa" w:w="922"/>
            <w:shd w:val="clear" w:color="auto" w:fill="E8EE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24 (R)</w:t>
            </w:r>
          </w:p>
        </w:tc>
        <w:tc>
          <w:tcPr>
            <w:tcW w:type="dxa" w:w="922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36 (R)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9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52 (R)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n/d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4"/>
              </w:rPr>
              <w:t>44</w:t>
            </w:r>
          </w:p>
        </w:tc>
        <w:tc>
          <w:tcPr>
            <w:tcW w:type="dxa" w:w="691"/>
            <w:shd w:val="clear" w:color="auto" w:fill="DCEFE0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4"/>
              </w:rPr>
              <w:t>Better</w:t>
            </w:r>
          </w:p>
        </w:tc>
      </w:tr>
    </w:tbl>
    <w:p>
      <w:pPr>
        <w:spacing w:after="60" w:before="0"/>
      </w:pPr>
      <w:r>
        <w:rPr>
          <w:i w:val="0"/>
          <w:color w:val="555555"/>
          <w:sz w:val="12"/>
        </w:rPr>
        <w:t>¹K02b = revenue per average BILLED IT MW (Capacity billing path; Nebius 176.1 IT MW avg Q1-Q2'26), not energized or gross MW; CoreWeave K02b = K02 (active ~ billed); other peers publish no billed-MW series. K02 uses average energized MW (Nebius 181.5/193 MW, Capacity estimate). †Shown but excluded from the median (Nscale K28 = legacy $137M debt; marginal secured ~6.25% E). Periods: IREN K02 Sep-25; Oracle May-26 (FQ4 FY26), K18 Aug-26; Nscale H1'26; Lambda/Crusoe mostly n/d (press-only private peers). Nscale K23 is pre-ramp (tiny H1'26 revenue vs. $56.4B RPO). Lower is better for capex/MW, cost of debt and concentration; shorter life = more conservative (Better). K12 (CoreWeave in-service definition) is Nebius FY25.</w:t>
      </w:r>
    </w:p>
    <w:p>
      <w:pPr>
        <w:spacing w:after="20" w:before="0"/>
      </w:pPr>
      <w:r>
        <w:rPr>
          <w:b/>
          <w:i w:val="0"/>
          <w:color w:val="1F4E8C"/>
          <w:sz w:val="17"/>
        </w:rPr>
        <w:t>Hyperscaler / AI-lab compute contracts: implied price per MW (comparison.xlsx Contracts_$MWyr; TCV / term / MW)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" w:type="dxa"/>
          <w:left w:w="40" w:type="dxa"/>
          <w:bottom w:w="8" w:type="dxa"/>
          <w:right w:w="40" w:type="dxa"/>
        </w:tblCellMar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1368"/>
        <w:gridCol w:w="2088"/>
        <w:gridCol w:w="1123"/>
        <w:gridCol w:w="864"/>
        <w:gridCol w:w="1036"/>
        <w:gridCol w:w="604"/>
        <w:gridCol w:w="1036"/>
        <w:gridCol w:w="979"/>
        <w:gridCol w:w="1555"/>
      </w:tblGrid>
      <w:tr>
        <w:trPr>
          <w:cantSplit/>
        </w:trPr>
        <w:tc>
          <w:tcPr>
            <w:tcW w:type="dxa" w:w="1368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Provider</w:t>
            </w:r>
          </w:p>
        </w:tc>
        <w:tc>
          <w:tcPr>
            <w:tcW w:type="dxa" w:w="2088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Customer</w:t>
            </w:r>
          </w:p>
        </w:tc>
        <w:tc>
          <w:tcPr>
            <w:tcW w:type="dxa" w:w="1123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Signed</w:t>
            </w:r>
          </w:p>
        </w:tc>
        <w:tc>
          <w:tcPr>
            <w:tcW w:type="dxa" w:w="864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TCV ($M)</w:t>
            </w:r>
          </w:p>
        </w:tc>
        <w:tc>
          <w:tcPr>
            <w:tcW w:type="dxa" w:w="1037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Tag</w:t>
            </w:r>
          </w:p>
        </w:tc>
        <w:tc>
          <w:tcPr>
            <w:tcW w:type="dxa" w:w="605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Term (yrs)</w:t>
            </w:r>
          </w:p>
        </w:tc>
        <w:tc>
          <w:tcPr>
            <w:tcW w:type="dxa" w:w="1037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MW stated / IT MW</w:t>
            </w:r>
          </w:p>
        </w:tc>
        <w:tc>
          <w:tcPr>
            <w:tcW w:type="dxa" w:w="979"/>
            <w:shd w:val="clear" w:color="auto" w:fill="1F4E8C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13"/>
              </w:rPr>
              <w:t>$M per MW-yr (stated MW)</w:t>
            </w:r>
          </w:p>
        </w:tc>
        <w:tc>
          <w:tcPr>
            <w:tcW w:type="dxa" w:w="1555"/>
            <w:shd w:val="clear" w:color="auto" w:fill="1F4E8C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3"/>
              </w:rPr>
              <w:t>$M per IT MW-yr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Nebius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Microsoft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2025-09-08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17,393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240 (E)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14.49 (E, house; model Contracts!E12)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Nebius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Meta #1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2025-11-01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2,881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50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11.5 (MW E, low conf.)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Nebius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Meta #2 (dedicated)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2026-03-13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12,000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n/d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Nebius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Meta #2 backstop (contingent)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2026-03-13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15,000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 (up to; contingent)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n/d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Nebius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4 'landmark' Q2'26 customers (unnamed)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Q2'26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20-25 (ACV/MW, R)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basis n/d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IREN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Microsoft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2025-11-03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9,700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200 / 200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9.7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9.7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IREN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NVIDIA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2026-05 (8-K)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3,400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60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11.3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n/d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Nscale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Microsoft (all SOWs)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2025-09..2026-04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43,800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 (up to)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5.5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596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13.4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Nscale (Aker JV)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Microsoft - Narvik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2025-09-17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6,200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106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11.7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Nscale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Microsoft ex-Narvik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37,600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D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5.5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 / 491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n/d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13.9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Nscale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Anthropic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2026-08-25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44,600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R (up to)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6.0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460 / 460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16.2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16.2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Lambda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Anthropic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2026-09-01 (P)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35,000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P (Medium; band top)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6.0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350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16.7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n/d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Oracle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OpenAI (Stargate)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2025-07/09 (P)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300,000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P (WSJ)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5.0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4,500 / 3,750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13.3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16.0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Cerebras</w:t>
            </w:r>
          </w:p>
        </w:tc>
        <w:tc>
          <w:tcPr>
            <w:tcW w:type="dxa" w:w="2088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OpenAI</w:t>
            </w:r>
          </w:p>
        </w:tc>
        <w:tc>
          <w:tcPr>
            <w:tcW w:type="dxa" w:w="1123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2026-01-14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10,000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P (&gt;$10B)</w:t>
            </w:r>
          </w:p>
        </w:tc>
        <w:tc>
          <w:tcPr>
            <w:tcW w:type="dxa" w:w="605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3.0</w:t>
            </w:r>
          </w:p>
        </w:tc>
        <w:tc>
          <w:tcPr>
            <w:tcW w:type="dxa" w:w="1037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750 / n/d</w:t>
            </w:r>
          </w:p>
        </w:tc>
        <w:tc>
          <w:tcPr>
            <w:tcW w:type="dxa" w:w="979"/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3"/>
              </w:rPr>
              <w:t>4.4 (naive LB)</w:t>
            </w:r>
          </w:p>
        </w:tc>
        <w:tc>
          <w:tcPr>
            <w:tcW w:type="dxa" w:w="1555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3"/>
              </w:rPr>
              <w:t>n/d</w:t>
            </w:r>
          </w:p>
        </w:tc>
      </w:tr>
    </w:tbl>
    <w:p>
      <w:pPr>
        <w:spacing w:after="20" w:before="0"/>
      </w:pPr>
      <w:r>
        <w:rPr>
          <w:i w:val="0"/>
          <w:color w:val="555555"/>
          <w:sz w:val="12"/>
        </w:rPr>
        <w:t>NON-COMPUTE facility leases (shell + power only, NOT comparable to compute $/MW): TeraWulf-Fluidstack 1.85; Cipher Mining-AWS 1.22; Cipher Mining-Fluidstack 1.79; Hut 8-Fluidstack 1.90; Applied Digital-CoreWeave 1.83; Galaxy-CoreWeave 1.90; Hut 8-NVIDIA 1.86; AIB Data Centers-Nebius (CLT1) n/d ($M per MW-yr, stated MW).</w:t>
      </w:r>
    </w:p>
    <w:p>
      <w:pPr>
        <w:spacing w:after="20" w:before="0"/>
      </w:pPr>
      <w:r>
        <w:rPr>
          <w:i w:val="0"/>
          <w:color w:val="555555"/>
          <w:sz w:val="12"/>
        </w:rPr>
        <w:t>No $/MW computable (MW, term or value undisclosed): IREN-recent 3-yr contracts (unnamed); Lambda-Microsoft; Lambda-NVIDIA (GPU leaseback, main tranche); CoreWeave-Meta #1; CoreWeave-Meta #2; CoreWeave-OpenAI T1; CoreWeave-OpenAI T2; CoreWeave-OpenAI T3; CoreWeave-Jane Street; CoreWeave-Anthropic; Crusoe-Jane Street; Crusoe-Meta; Crusoe-Microsoft (Abilene 900 MW campus); Crusoe JV / Oracle-OpenAI (Abilene Stargate); Oracle-Meta; SpaceX (xAI)-Anthropic; Microsoft (Azure)-OpenAI; AWS-OpenAI; Microsoft (Azure)-Anthropic; Google Cloud-Anthropic; Google Cloud-Meta.</w:t>
      </w:r>
    </w:p>
    <w:p>
      <w:pPr>
        <w:spacing w:after="0" w:before="0"/>
      </w:pPr>
      <w:r>
        <w:rPr>
          <w:i w:val="0"/>
          <w:color w:val="555555"/>
          <w:sz w:val="12"/>
        </w:rPr>
        <w:t>Tags: R reported, P press-reported, D derived, E estimated; '(up to)' = maximum TCV. Microsoft-Nebius: no MW stated by either company; shown only as the house $14.49M per IT MW-yr (E; $17.4B / 5 yrs / ~240 IT MW est., model Contracts!E12). Nebius Meta #2 and backstop tie no MW (n/d); backstop is contingent. Nebius MW is a Capacity estimate throughout. Share count: 358.56M debt convention at the $237.15 10/7 close (if-converted 376.65M above $324.65, all convert debt out of EV; 369.56M between $313.46 and $324.65); never mix share and debt sides. Nebius Q3'26 results ~Nov 10 (est.), not announced. Comp band $9.7-16.7M per MW-yr: low IREN-Microsoft $9.7M (R, IT MW); top Lambda-Anthropic ~$16.7M ($35B / 6-yr term / ~350 MW; press inputs, IT vs gross MW unstated; Medium confidence).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