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1"/>
        </w:rPr>
        <w:t>Appendix: IREN Childress, TX (Microsoft Horizons) site status, as of Thu Oct 8, 2026, ~3:15 PM ET</w:t>
      </w:r>
    </w:p>
    <w:p>
      <w:pPr>
        <w:spacing w:after="30" w:before="0"/>
      </w:pPr>
      <w:r>
        <w:rPr>
          <w:b w:val="0"/>
          <w:sz w:val="15"/>
        </w:rPr>
        <w:t>Nebius Peer KPIs. Public sources only. Grade: Green (H1–2) / Yellow (H3–4 by Q4'26), unchanged since Oct 5. Site grid MW includes legacy bitcoin load.</w:t>
      </w:r>
    </w:p>
    <w:p>
      <w:pPr>
        <w:spacing w:after="40" w:before="0"/>
      </w:pPr>
      <w:r>
        <w:rPr>
          <w:b w:val="0"/>
          <w:sz w:val="15"/>
        </w:rPr>
        <w:t>Definitions (team, as in capacity/vineland_site_appendix): Announced = company-stated build-out. Connected = power delivered into fully built, equipped halls (can sit idle until GPUs arrive); grid/utility MW is shown on its own row and is NOT IT MW. Active = power used by installed, operating IT. Billed = revenue-generating IT MW. Tags: R reported (company/regulator), P press/third party, D derived, E estimated, n/d not disclosed. [n] = sources.</w:t>
      </w:r>
    </w:p>
    <w:tbl>
      <w:tblPr>
        <w:tblW w:type="dxa" w:w="14975"/>
        <w:tblLayout w:type="fixed"/>
        <w:tblLook w:firstColumn="1" w:firstRow="1" w:lastColumn="0" w:lastRow="0" w:noHBand="0" w:noVBand="1" w:val="04A0"/>
        <w:tblCellMar>
          <w:left w:w="0" w:type="dxa"/>
          <w:right w:w="144" w:type="dxa"/>
          <w:top w:w="0" w:type="dxa"/>
          <w:bottom w:w="0" w:type="dxa"/>
        </w:tblCellMar>
        <w:tblLayout w:type="fixed"/>
      </w:tblPr>
      <w:tblGrid>
        <w:gridCol w:w="7487"/>
        <w:gridCol w:w="7487"/>
      </w:tblGrid>
      <w:tr>
        <w:tc>
          <w:tcPr>
            <w:tcW w:type="dxa" w:w="7488"/>
          </w:tcPr>
          <w:p>
            <w:pPr>
              <w:spacing w:after="20" w:before="0"/>
            </w:pPr>
            <w:r>
              <w:rPr>
                <w:b/>
                <w:sz w:val="17"/>
              </w:rPr>
              <w:t>1. Site facts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440"/>
              <w:gridCol w:w="4824"/>
              <w:gridCol w:w="576"/>
              <w:gridCol w:w="503"/>
            </w:tblGrid>
            <w:tr>
              <w:tc>
                <w:tcPr>
                  <w:tcW w:type="dxa" w:w="144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Item</w:t>
                  </w:r>
                </w:p>
              </w:tc>
              <w:tc>
                <w:tcPr>
                  <w:tcW w:type="dxa" w:w="482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Fact</w:t>
                  </w:r>
                </w:p>
              </w:tc>
              <w:tc>
                <w:tcPr>
                  <w:tcW w:type="dxa" w:w="576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5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Owner / operator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IREN (SPV Ie US Development Holdings 3 Inc.); IREN-owned 576 ac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1, 2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Tenants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Microsoft: Horizons 1–4, 4 × 50 MW IT liquid-cooled GB300 NVL72, $9.7B / 5 yrs. NVIDIA: $3.4B in ~60 MW of existing halls from early 2027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3, 4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Location / legacy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620 FM 1033, Childress County TX; Phases 1–5 = 650 MW bitcoin 'operating data centers' (Aug-25), winding down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2, 5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2. MW: announced / connected / active / billed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800"/>
              <w:gridCol w:w="2304"/>
              <w:gridCol w:w="2088"/>
              <w:gridCol w:w="648"/>
              <w:gridCol w:w="503"/>
            </w:tblGrid>
            <w:tr>
              <w:tc>
                <w:tcPr>
                  <w:tcW w:type="dxa" w:w="180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Stage</w:t>
                  </w:r>
                </w:p>
              </w:tc>
              <w:tc>
                <w:tcPr>
                  <w:tcW w:type="dxa" w:w="23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MW</w:t>
                  </w:r>
                </w:p>
              </w:tc>
              <w:tc>
                <w:tcPr>
                  <w:tcW w:type="dxa" w:w="208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Basis</w:t>
                  </w:r>
                </w:p>
              </w:tc>
              <w:tc>
                <w:tcPr>
                  <w:tcW w:type="dxa" w:w="64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5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Announced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750 grid; 200 IT (H1–4) + ~60 (NVIDIA)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H5–6 (2027) MW n/d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3, 4, 6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Connected (grid / utility)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750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grid incl. mining load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Connected (halls)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~100 (H1 + H2 commissioning)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Active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75 (50–100)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IT, AI only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3, 7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Billed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50 (H1 accepted Aug 13)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IT; H2 n/d until acceptance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 on 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YE26 billed L / B / H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100 / 150 / 200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20"/>
            </w:pPr>
            <w:r>
              <w:rPr>
                <w:b w:val="0"/>
                <w:sz w:val="15"/>
              </w:rPr>
              <w:t>Site grid load ≠ AI IT: the 750 MW interconnection still carries mining load. H2 'commissioning underway' and H3–4 'late-stage construction, targeting delivery in Q4 2026' (Aug 27) [3]; no H2 acceptance found as of Oct 8.</w:t>
            </w:r>
          </w:p>
          <w:p>
            <w:pPr>
              <w:spacing w:before="20"/>
            </w:pPr>
            <w:r>
              <w:drawing>
                <wp:inline xmlns:a="http://schemas.openxmlformats.org/drawingml/2006/main" xmlns:pic="http://schemas.openxmlformats.org/drawingml/2006/picture">
                  <wp:extent cx="4114800" cy="15654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en_childress_m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65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20" w:before="0"/>
            </w:pPr>
            <w:r>
              <w:rPr>
                <w:b/>
                <w:sz w:val="17"/>
              </w:rPr>
              <w:t>3. Power and interconnection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512"/>
              <w:gridCol w:w="4752"/>
              <w:gridCol w:w="604"/>
              <w:gridCol w:w="475"/>
            </w:tblGrid>
            <w:tr>
              <w:tc>
                <w:tcPr>
                  <w:tcW w:type="dxa" w:w="151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Item</w:t>
                  </w:r>
                </w:p>
              </w:tc>
              <w:tc>
                <w:tcPr>
                  <w:tcW w:type="dxa" w:w="475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Status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Utility / ISO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AEP Texas / ERCOT; IREN-owned substations, dual diverse connection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ERCOT status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Existing energized load (raised 600 → 750 MW on 2024-07-24 after ERCOT study); not a Batch Zero new-interconnect case; 2nd bulk transformer energized for H1–2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5, 6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Regional grid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ERCOT-endorsed AEP Childress Area Transmission Improvement (Tier 2, ~$77.3M, ISD Nov 2031, CCN needed): area reliability, not site supply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On-site generation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None found; Title V filing implies permitted emission units (unit list n/d)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 abs.; 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4. Permits (TCEQ / state / local)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800"/>
              <w:gridCol w:w="4464"/>
              <w:gridCol w:w="604"/>
              <w:gridCol w:w="475"/>
            </w:tblGrid>
            <w:tr>
              <w:tc>
                <w:tcPr>
                  <w:tcW w:type="dxa" w:w="180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Permit</w:t>
                  </w:r>
                </w:p>
              </w:tc>
              <w:tc>
                <w:tcPr>
                  <w:tcW w:type="dxa" w:w="446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Status / dates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TCEQ Title V #4951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'Childress Data Center', Ie US Development Holdings 3; received 2026-08-17; Administrative Complete (list data 10/8, unchanged since Oct 5)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Major NSR / PSD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None found (NSR pending list run 10/8: no IREN / Childress DC entry)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 absence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Sep 21 state pause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TCEQ issues no data-center permits until the ERCOT audit; Childress is on third-party lists of pending DC applications, so #4951 waits; operations continue meanwhile [E]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P; 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County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Ch. 312 abatements / Iris Reinvestment Zone (IE US entities)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5. Imagery, construction evidence and contract economics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584"/>
              <w:gridCol w:w="4680"/>
              <w:gridCol w:w="604"/>
              <w:gridCol w:w="475"/>
            </w:tblGrid>
            <w:tr>
              <w:tc>
                <w:tcPr>
                  <w:tcW w:type="dxa" w:w="158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Check</w:t>
                  </w:r>
                </w:p>
              </w:tc>
              <w:tc>
                <w:tcPr>
                  <w:tcW w:type="dxa" w:w="468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Finding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Sentinel-2 Oct 5 v Sep 28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Mining sheds + new west/north halls + grey SE facility; white-roof 9.0 v 12.8 ha (same metric; sun/view noise, no demolition seen). H2–H4 not separable at 10 m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D; read 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2023 → 2026 imagery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White-roof 0.5 → 19–25 ha (Mar–Jul 26); thermal dominated by mining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D; 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Contract economics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Microsoft $9.7B / 5 yrs / 200 IT MW = $9.7M per IT MW-yr (bottom of the $9.7–16.7M comp band). NVIDIA $3.4B / 5 / ~60 = ~$11.3M (MW unlabeled). IREN: 'active discussions at ~$25M per MW (IT)', not signed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D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3, 15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0" w:before="50"/>
            </w:pPr>
            <w:r>
              <w:rPr>
                <w:b/>
                <w:sz w:val="15"/>
              </w:rPr>
              <w:t xml:space="preserve">What would change our view: </w:t>
            </w:r>
            <w:r>
              <w:rPr>
                <w:b w:val="0"/>
                <w:sz w:val="15"/>
              </w:rPr>
              <w:t>(1) Horizon 2 acceptance PR and H3–4 delivery in Q4'26: each accepted 50 MW adds billed MW; a slip past Dec 31 leaves YE26 at the 100 MW low [3, 7]. (2) IREN Q1 FY27 results ~early–mid Nov [E]: H2–H4 status and NVIDIA 60 MW ramp [3]. (3) TCEQ compliance report Oct 19; ERCOT audit Dec 10 / PUCT Dec 17: #4951 stays unissued under the pause; bear only if the state moves against operating sites [12]. Biggest trigger: H2–H4 acceptance timing (YE26 billed 100 / 150 / 200).</w:t>
            </w:r>
          </w:p>
          <w:p>
            <w:pPr>
              <w:spacing w:after="0" w:before="30"/>
            </w:pPr>
            <w:r>
              <w:rPr>
                <w:b/>
                <w:sz w:val="15"/>
              </w:rPr>
              <w:t xml:space="preserve">What changed since Oct 5: </w:t>
            </w:r>
            <w:r>
              <w:rPr>
                <w:b w:val="0"/>
                <w:sz w:val="15"/>
              </w:rPr>
              <w:t>Since Oct 5: no IREN 8-K; #4951 still Administrative Complete (TCEQ data 10/8) and now explicitly inside the Sep 21 permit pause; H2 still not accepted; Oct 5 Sentinel-2 adds nothing.</w:t>
            </w:r>
          </w:p>
        </w:tc>
      </w:tr>
    </w:tbl>
    <w:p>
      <w:pPr>
        <w:spacing w:after="0" w:before="40"/>
      </w:pPr>
      <w:r>
        <w:rPr>
          <w:b/>
          <w:color w:val="404040"/>
          <w:sz w:val="12"/>
        </w:rPr>
        <w:t xml:space="preserve">Sources: </w:t>
      </w:r>
      <w:r>
        <w:rPr>
          <w:b w:val="0"/>
          <w:color w:val="404040"/>
          <w:sz w:val="12"/>
        </w:rPr>
        <w:t>[1] Texas Comptroller data-center list (LD926028) comptroller.texas.gov/taxes/data-centers/data-center-lists.php (acc. Oct 5) · [2] IREN Childress page iren.com/data-centers/childress (acc. Oct 5) · [3] IREN FY26 results (2026-08-27) www.sec.gov/Archives/edgar/data/1878848/000187884826000051/irenreportsfy26results.htm (acc. Oct 8; sites/docs/iren_fy26.txt) · [4] IREN Q3 FY26 (2026-05-07, NVIDIA $3.4B) via peers/iren/iren_kpis.md · [5] IREN Aug-2025 update iren.gcs-web.com/static-files/ec8ec2a6-a1d1-4bb6-9cb9-bc2d436b9db9 (acc. Oct 5) · [6] IREN PR (2024-07-24) www.nasdaq.com/press-release/iren-increases-childress-power-capacity-600mw-750mw-2024-07-24 (acc. Oct 5) · [7] IREN 8-K Ex.99.1 (2026-08-13, H1 accepted) www.sec.gov/Archives/edgar/data/1878848/000114036126032638/ef20080141_ex99-1.htm (acc. Oct 8) · [8] Team: peers/sites/site_verification.md §2; sites.xlsx; strips/childress_tx_strip.png · [9] PUC Docket 55999 Item 173 interchange.puc.texas.gov/Documents/55999_173_1556587.PDF (acc. Oct 5) · [10] TCEQ Title V pending (data 10/8/2026) www.tceq.texas.gov/assets/public/permitting/air/reports/applications/titlev-pending-permits.html (acc. Oct 8) · [11] TCEQ NSR pending (run 10/8/2026) www.tceq.texas.gov/assets/public/permitting/air/reports/applications/nsr-pending-permits.html (acc. Oct 8) · [12] Gov. Abbott (2026-09-21) gov.texas.gov/news/post/governor-abbott-directs-tceq-to-halt-data-center-permits ; computelaw.blog/brief/texas-governor-pauses-environmental-permits-for-data-centers-until-state-audits-end/ (acc. Oct 8) · [13] Childress County tax abatements www.childresstx.us/pages/tax-abatements ; sites/docs/childress_county_abatement_notice_2023-08.pdf (acc. Oct 5) · [14] Sentinel-2 L2A S2A_14SLD_20261005 (Earth Search); sites/imagery/childress_tx/detail/childress_tx_2026-10-05_crop_oct8.png · [15] peers/comparison.xlsx Contracts_$MWyr rows P1 / NEW1 (comp band $9.7–16.7M)</w:t>
      </w:r>
    </w:p>
    <w:sectPr w:rsidR="00FC693F" w:rsidRPr="0006063C" w:rsidSect="00034616">
      <w:pgSz w:w="15840" w:h="12240" w:orient="landscape"/>
      <w:pgMar w:top="403" w:right="504" w:bottom="360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