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8C"/>
          <w:sz w:val="19"/>
        </w:rPr>
        <w:t>Peer benchmark: $ per IT MW-yr, contracted vs energized MW, power and permits (CoreWeave, IREN, Oracle, Nscale, Lambda, Crusoe, Bitdeer vs Nebius)</w:t>
      </w:r>
    </w:p>
    <w:p>
      <w:pPr>
        <w:spacing w:after="20"/>
      </w:pPr>
      <w:r>
        <w:rPr>
          <w:b w:val="0"/>
          <w:color w:val="404040"/>
          <w:sz w:val="12"/>
        </w:rPr>
        <w:t xml:space="preserve">Nebius Peer KPIs | as of Fri Oct 9, 2026 (ET) | public sources only | Nebius on model v0.9e locks | $ per MW-yr = TCV / term / MW for each named contract ($M) | comp band $9.7-16.7M unchanged | R reported/primary, D derived from R, P press (footnoted), E estimate, n/d not disclosed | </w:t>
      </w:r>
      <w:r>
        <w:rPr>
          <w:b/>
          <w:color w:val="C00000"/>
          <w:sz w:val="12"/>
        </w:rPr>
        <w:t>red bold</w:t>
      </w:r>
      <w:r>
        <w:rPr>
          <w:b w:val="0"/>
          <w:color w:val="404040"/>
          <w:sz w:val="12"/>
        </w:rPr>
        <w:t xml:space="preserve"> = print &gt;= $20M/MW</w:t>
      </w:r>
    </w:p>
    <w:p>
      <w:pPr>
        <w:spacing w:after="40"/>
      </w:pPr>
      <w:r>
        <w:rPr>
          <w:b/>
          <w:color w:val="C00000"/>
          <w:sz w:val="15"/>
        </w:rPr>
        <w:t>Only one contract with disclosed MW reaches $20M/MW: Bitdeer, ~15 MW, a &lt;= $22.4M ceiling, basis from secondary sources.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left w:w="30" w:type="dxa"/>
          <w:bottom w:w="10" w:type="dxa"/>
          <w:right w:w="30" w:type="dxa"/>
        </w:tblCellMar>
      </w:tblPr>
      <w:tblGrid>
        <w:gridCol w:w="1123"/>
        <w:gridCol w:w="3528"/>
        <w:gridCol w:w="1512"/>
        <w:gridCol w:w="2520"/>
        <w:gridCol w:w="2232"/>
        <w:gridCol w:w="2232"/>
        <w:gridCol w:w="1828"/>
      </w:tblGrid>
      <w:tr>
        <w:tc>
          <w:tcPr>
            <w:tcW w:type="dxa" w:w="112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</w:t>
            </w:r>
          </w:p>
        </w:tc>
        <w:tc>
          <w:tcPr>
            <w:tcW w:type="dxa" w:w="3528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Disclosed $M per IT MW-yr (named contracts) + company KPI prints</w:t>
            </w:r>
          </w:p>
        </w:tc>
        <w:tc>
          <w:tcPr>
            <w:tcW w:type="dxa" w:w="151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MW basis of the $ figures</w:t>
            </w:r>
          </w:p>
        </w:tc>
        <w:tc>
          <w:tcPr>
            <w:tcW w:type="dxa" w:w="252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vs energized (active) MW</w:t>
            </w:r>
          </w:p>
        </w:tc>
        <w:tc>
          <w:tcPr>
            <w:tcW w:type="dxa" w:w="223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Power (utility / ISO, interconnection, on-site gen)</w:t>
            </w:r>
          </w:p>
        </w:tc>
        <w:tc>
          <w:tcPr>
            <w:tcW w:type="dxa" w:w="223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Permit status</w:t>
            </w:r>
          </w:p>
        </w:tc>
        <w:tc>
          <w:tcPr>
            <w:tcW w:type="dxa" w:w="1829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Sources (full list: xlsx Sources tab)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CoreWeave</w:t>
            </w:r>
          </w:p>
          <w:p>
            <w:r>
              <w:rPr>
                <w:b w:val="0"/>
                <w:color w:val="555555"/>
                <w:sz w:val="12"/>
              </w:rPr>
              <w:t>key site: Denton TX (Core Scientific)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n/d for every named deal: Meta $14.2B/6.2y and $21.0B/6.7y, OpenAI $22.4B (3 orders), Jane Street $6B, Anthropic (no value) - no MW disclosed [R]. KPI: </w:t>
            </w:r>
            <w:r>
              <w:rPr>
                <w:b/>
                <w:color w:val="C00000"/>
                <w:sz w:val="13"/>
              </w:rPr>
              <w:t>~$40M/MW-yr</w:t>
            </w:r>
            <w:r>
              <w:rPr>
                <w:b w:val="0"/>
                <w:sz w:val="13"/>
              </w:rPr>
              <w:t xml:space="preserve"> on 3-6-month deals¹ [R]. Context: Denton colocation ~$1.4M/MW-yr (shell+power, not compute) [D].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Contracts: n/a (no MW). $40M KPI: 'MW' unstated; CRWV active power reads IT [E].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3,700 (Jun-30) → ~4,200 (Aug-11) [R]; active 1,500 [R] = 2.5x [D]. Denton ~260 IT active/billed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Denton Municipal Electric PPA (~394 MW); ERCOT: 297 MW energized + 74 MW validated, both outside Batch Zero [R]. Standby gensets only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PBR 179143 standby engines [R]; no Title V/NSR [R, absence]. City moratorium: 2nd hearing Oct 27, vote &gt;= Dec 1; city attorney: need not stop existing projects [P].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8-Ks 9/30/25, 4/9/26; PR 4/15/26; convert deck 8-K 9/17/26 sl.7. MW: Q2'26 PR 8/11/26. Pwr/permit: CORZ 8-K 9/10/26; TCEQ PBR 179143, Title V/NSR lists 10/8; Community Impact 9/24.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IREN</w:t>
            </w:r>
          </w:p>
          <w:p>
            <w:r>
              <w:rPr>
                <w:b w:val="0"/>
                <w:color w:val="555555"/>
                <w:sz w:val="12"/>
              </w:rPr>
              <w:t>key site: Childress TX (Microsoft Horizons)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Microsoft $9.7B/5y/200 IT MW = 9.7 [D]; NVIDIA $3.4B/5y/~60 MW = 11.3 [D] → named range 9.7-11.3. KPI: recent 3-yr deals </w:t>
            </w:r>
            <w:r>
              <w:rPr>
                <w:b/>
                <w:color w:val="C00000"/>
                <w:sz w:val="13"/>
              </w:rPr>
              <w:t>&gt;$20M</w:t>
            </w:r>
            <w:r>
              <w:rPr>
                <w:b w:val="0"/>
                <w:sz w:val="13"/>
              </w:rPr>
              <w:t xml:space="preserve"> and discussions </w:t>
            </w:r>
            <w:r>
              <w:rPr>
                <w:b/>
                <w:color w:val="C00000"/>
                <w:sz w:val="13"/>
              </w:rPr>
              <w:t>~$25M</w:t>
            </w:r>
            <w:r>
              <w:rPr>
                <w:b w:val="0"/>
                <w:sz w:val="13"/>
              </w:rPr>
              <w:t xml:space="preserve"> (unsigned)² [R].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Microsoft: IT (company). NVIDIA: 60 MW unlabeled. KPIs: 'per MW (IT)'.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AI ~260 IT (200 + ~60) [D]; operating AI ~40 MW at Jun-30 [R]. Childress now ~75 active (50-100) / 50 billed IT (H1 accepted 8/13)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AEP Texas / ERCOT; 750 MW grid, existing energized load incl. legacy mining; IREN-owned substations [R]. No on-site generation found.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Title V #4951 'Administratively Complete', not issued; inside the Sep 21 Texas data-center permit pause [R/P]. No NSR/PSD [R, absence].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8-K 11/3/25; NVIDIA PR 5/26; FY26 results 8/27/26. MW: 10-K FY26; 8-K 8/13/26. Pwr/permit: IREN PR 7/24/24; TCEQ Title V list 10/8; Gov. Abbott 9/21.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Oracle (OCI)</w:t>
            </w:r>
          </w:p>
          <w:p>
            <w:r>
              <w:rPr>
                <w:b w:val="0"/>
                <w:color w:val="555555"/>
                <w:sz w:val="12"/>
              </w:rPr>
              <w:t>key site: Port Washington WI (Abilene counted under Crusoe)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OpenAI ~$300B/5y/4.5 GW = 13.3 stated / 16.0 IT read³ [P]. Meta ~$20B, Tencent ~$7B/5y: MW n/d [P].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4.5 GW unlabeled; ~353 GPUs/MW implies gross → IT read = /1.2 [D].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Contracted: n/d as filed; '&gt;10 GW secured' (call) [R]; OpenAI 4.5 GW [P]. Installed base n/d; 850 MW delivered in FQ1 FY27 incl. Abilene 618 [R]; ~2,050 cumulative since Jun-25 [E]. Port Washington 0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Port Washington: We Energies / ATC; 0 MW connected; ATC Ozaukee upgrade built Dec-26 to Dec-27; partial power ~Oct-Dec 2027 (Aterio) [R/P]. 87 MW backup diesel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WDNR air 25-MIN-094 final 6/12/26 [R]. ATC grid case at PSC refiled; completeness decision ~Oct 19 [P].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WSJ 9/10/25; CNBC 10/16/25; FT via DCD 10/1/26. MW: FQ1 FY27 call 9/10/26. Pwr/permit: PSC docs 593736/597276; WDNR permit; TechRadar 10/4; Aterio 9/30.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Nscale</w:t>
            </w:r>
          </w:p>
          <w:p>
            <w:r>
              <w:rPr>
                <w:b w:val="0"/>
                <w:color w:val="555555"/>
                <w:sz w:val="12"/>
              </w:rPr>
              <w:t>key sites: Monarch WV; Kvandal NO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Anthropic up to $44.6B/6y/460 IT = 16.2 [P]⁴; Microsoft up to $43.8B/5.5y/~596 IT = 13.4 [P]⁴; Narvik $6.2B/5y/~106 IT = 11.7 [D] → range 11.7-16.2.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IT: Monarch 460 IT per S-1; Microsoft IT MW = GPUs / 491 (GB300) or 320 (Rubin) per IT MW [D].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Active + contracted 1,370 IT (8/31) [R]; active &lt;= 81 (5-site sum, upper bound) [D] = ~17x. Monarch 460 contracted / 0 active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Monarch: off-grid gas microgrid, 864 x 2.5 MW engines (2.16 GW nameplate), no utility interconnect [R]. Kvandal: 230 MW Statnett allocation; Vattenfall PPA from 2027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WVDEP air R14-0042 draft 9/29, comments close Oct 30 [R]; stormwater order 7/14 [P]. Kvandal: NVE fine warning, deadline Nov 15 [P]. Anthropic financing not committed [R].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S-1 9/18/26; Aker-Nscale PR 9/17/25; Bloomberg/Reuters (term). MW: S-1. Pwr/permit: WVDEP R14-0042 app/draft; Nscale site page; NRK 9/29.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Lambda</w:t>
            </w:r>
          </w:p>
          <w:p>
            <w:r>
              <w:rPr>
                <w:b w:val="0"/>
                <w:color w:val="555555"/>
                <w:sz w:val="12"/>
              </w:rPr>
              <w:t>key sites: Kansas City MO; Beacon Point TX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Anthropic ~$35B/6y/~350 MW = 16.7 [P]⁵ (comp-band top). Microsoft 'multibillion': no value/MW [R]. NVIDIA leaseback $1.3B/4y/10k GPUs ($3.71/GPU-hr): MW n/d [P].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350 MW unlabeled (IT vs gross unstated).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Company totals n/d (no S-1). Pieces: Beacon Point ~350 [P]; KC 24 (-&gt;100+) [R]. Last active 47 MW (Q2'25) [P]; KC 0-24 (base 12) [E]. Backlog $50B (Sep-26)⁵ [P].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KC: Evergy (full supply late summer 2026) + 5 x 3 MW rental prime-power engines Jun-Oct (+ up to 6 x 3) [R]. Beacon Point: Hut 8 build, NVIDIA holds lease [P].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KC: MO DNR de minimis 102025-010 issued 10/29/25 [R]; no go-live confirmation. Beacon Point: n/d.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Reuters/WSJ/Bloomberg 8/31/26; Lambda PR 11/3/25; DCD 9/8/25. MW: The Information via press; Lambda PR 10/28/25; WSJ/TechCrunch 10/6. Pwr/permit: MO DNR permit + 4/15/26 letter; KSHB.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Crusoe</w:t>
            </w:r>
          </w:p>
          <w:p>
            <w:r>
              <w:rPr>
                <w:b w:val="0"/>
                <w:color w:val="555555"/>
                <w:sz w:val="12"/>
              </w:rPr>
              <w:t>key site: Abilene TX (Oracle/OpenAI tenant)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n/d for every named deal: Oracle Abilene lease, Microsoft 900 MW, Meta ~1.6 GW (values n/d); Jane Street $13B/5y (MW n/d) [P]. Company TCV/MW: </w:t>
            </w:r>
            <w:r>
              <w:rPr>
                <w:b/>
                <w:color w:val="C00000"/>
                <w:sz w:val="13"/>
              </w:rPr>
              <w:t>~$23.3M per gross MW</w:t>
            </w:r>
            <w:r>
              <w:rPr>
                <w:b w:val="0"/>
                <w:sz w:val="13"/>
              </w:rPr>
              <w:t>, whole term, not per year⁶ [D].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Gross (company states gross MW); Microsoft 672 IT.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6 GW+ gross / ~1 GW gross operational [R] = 6x [D]. Abilene: 618 delivered (6 of 8 bldgs, 75%) [R]; active 618 (421-618)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ERCOT / AEP via Lancium 138 kV (200 MW) + 345 kV (1,000 MW) substations [R]; ~360 MW on-site gas turbines, backup per Crusoe [R/P].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177263 issued [R]. 182126 / PSDTX1688 (Bldgs 9-10, up to ~1.3 GW gas) Technically Complete, not issued, frozen by the Sep 21 pause; TCEQ report Oct 19, ERCOT Dec 10, PUCT Dec 17 [R/P].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Crusoe PRs 9/17/26, 3/27/26, 5/21/25; Bloomberg via DCD 6/19, 9/4. MW: Series F PR; Oracle call 9/10. Pwr/permit: Mortenson; TCEQ 177263/182126; NSR list 10/8; Gov. Abbott 9/21.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Bitdeer AI</w:t>
            </w:r>
          </w:p>
          <w:p>
            <w:r>
              <w:rPr>
                <w:b w:val="0"/>
                <w:color w:val="555555"/>
                <w:sz w:val="12"/>
              </w:rPr>
              <w:t>not one of the six; added Oct 9 per GPU Market lock (A201 Johor MY)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A201: &gt;$1.7B/5y / &gt;70% of ~21.7 MW (~15.2 MW) = </w:t>
            </w:r>
            <w:r>
              <w:rPr>
                <w:b/>
                <w:color w:val="C00000"/>
                <w:sz w:val="13"/>
              </w:rPr>
              <w:t>&lt;= $22.4M ceiling</w:t>
            </w:r>
            <w:r>
              <w:rPr>
                <w:b w:val="0"/>
                <w:sz w:val="13"/>
              </w:rPr>
              <w:t xml:space="preserve"> [D on R; basis P]⁹ (15.7 if 100% contracted). A102: &gt;$800M/5y/9.5 MW = &gt;16.8 [D]. A103 Cyberjaya 60 MW IT, 8-yr (10/8): no value [R].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Primary releases do not label MW; 'critical IT' only in secondary sources (Datatech Times, ArusGrid) [P].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Contracted: A201 &gt;= 15.2 of 21.7, A102 9.5, A103 60 IT (~85) [R/D]; energized 0 at these three (A201 Q1'27, A102 Q1'27, A103 Q1'28) [R]. Company AI-cloud active MW n/d.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Energization targets only (A201 Q1'27; A103 Q1'28) [R]; utility / interconnection n/d; company 'secured 333.5 MW'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n/d (Malaysian permits not in team files).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Bitdeer PRs 9/29/26, 8/31/26; A103 release 10/8 (TMCnet); market/contract_economics.xlsx MidTerm_20M_Search r24-25/33/36; Needham 10/2, 10/7 (secondary).</w:t>
            </w:r>
          </w:p>
        </w:tc>
      </w:tr>
      <w:tr>
        <w:tc>
          <w:tcPr>
            <w:tcW w:type="dxa" w:w="1123"/>
            <w:shd w:val="clear" w:color="auto" w:fill="E8EEF7"/>
          </w:tcPr>
          <w:p>
            <w:r>
              <w:rPr>
                <w:b/>
                <w:color w:val="1F4E8C"/>
                <w:sz w:val="14"/>
              </w:rPr>
              <w:t>Nebius</w:t>
            </w:r>
          </w:p>
          <w:p>
            <w:r>
              <w:rPr>
                <w:b w:val="0"/>
                <w:color w:val="555555"/>
                <w:sz w:val="12"/>
              </w:rPr>
              <w:t>model v0.9e locks; key site: Vineland NJ</w:t>
            </w:r>
          </w:p>
        </w:tc>
        <w:tc>
          <w:tcPr>
            <w:tcW w:type="dxa" w:w="3528"/>
            <w:shd w:val="clear" w:color="auto" w:fill="E8EEF7"/>
          </w:tcPr>
          <w:p>
            <w:r>
              <w:rPr>
                <w:b w:val="0"/>
                <w:sz w:val="13"/>
              </w:rPr>
              <w:t xml:space="preserve">Microsoft: $14.49M per IT MW [E, house] (Contracts!E12)¹⁰. Meta #1: $11.52M [E, MW is a team estimate of ~50 IT MW]¹¹; Meta #2 $12B/5y: MW n/d [R]. KPI: Q2'26 deals </w:t>
            </w:r>
            <w:r>
              <w:rPr>
                <w:b/>
                <w:color w:val="C00000"/>
                <w:sz w:val="13"/>
              </w:rPr>
              <w:t>$20-25M</w:t>
            </w:r>
            <w:r>
              <w:rPr>
                <w:b w:val="0"/>
                <w:sz w:val="13"/>
              </w:rPr>
              <w:t xml:space="preserve"> ACV/MW; mgmt comment on Q3-to-date short-term pricing </w:t>
            </w:r>
            <w:r>
              <w:rPr>
                <w:b/>
                <w:color w:val="C00000"/>
                <w:sz w:val="13"/>
              </w:rPr>
              <w:t>&gt;$40M</w:t>
            </w:r>
            <w:r>
              <w:rPr>
                <w:b w:val="0"/>
                <w:sz w:val="13"/>
              </w:rPr>
              <w:t xml:space="preserve"> (Q2 letter + call, 8/12/26)⁷ [R]. LOCKED hurdles (v0.9e, per billed IT MW): non-MSFT </w:t>
            </w:r>
            <w:r>
              <w:rPr>
                <w:b/>
                <w:color w:val="C00000"/>
                <w:sz w:val="13"/>
              </w:rPr>
              <w:t>$27.63M</w:t>
            </w:r>
            <w:r>
              <w:rPr>
                <w:b w:val="0"/>
                <w:sz w:val="13"/>
              </w:rPr>
              <w:t xml:space="preserve">; clear-spot </w:t>
            </w:r>
            <w:r>
              <w:rPr>
                <w:b/>
                <w:color w:val="C00000"/>
                <w:sz w:val="13"/>
              </w:rPr>
              <w:t>$24.51M</w:t>
            </w:r>
            <w:r>
              <w:rPr>
                <w:b w:val="0"/>
                <w:sz w:val="13"/>
              </w:rPr>
              <w:t xml:space="preserve"> base / </w:t>
            </w:r>
            <w:r>
              <w:rPr>
                <w:b/>
                <w:color w:val="C00000"/>
                <w:sz w:val="13"/>
              </w:rPr>
              <w:t>$22.68M</w:t>
            </w:r>
            <w:r>
              <w:rPr>
                <w:b w:val="0"/>
                <w:sz w:val="13"/>
              </w:rPr>
              <w:t xml:space="preserve"> high; turn-positive $17.05M / $16.70M⁸ [D].</w:t>
              <w:br/>
              <w:t xml:space="preserve">Memo (blended, not a hurdle lock): </w:t>
            </w:r>
            <w:r>
              <w:rPr>
                <w:b/>
                <w:color w:val="C00000"/>
                <w:sz w:val="13"/>
              </w:rPr>
              <w:t>$23.13M</w:t>
            </w:r>
            <w:r>
              <w:rPr>
                <w:b w:val="0"/>
                <w:sz w:val="13"/>
              </w:rPr>
              <w:t xml:space="preserve"> = Street FY27 ÷ our 531.8 billed MW, all customers [D].</w:t>
            </w:r>
          </w:p>
        </w:tc>
        <w:tc>
          <w:tcPr>
            <w:tcW w:type="dxa" w:w="1512"/>
            <w:shd w:val="clear" w:color="auto" w:fill="E8EEF7"/>
          </w:tcPr>
          <w:p>
            <w:r>
              <w:rPr>
                <w:b w:val="0"/>
                <w:sz w:val="13"/>
              </w:rPr>
              <w:t>Microsoft MW never stated by Nebius/Microsoft (300 MW = Vineland site scalability, 2024 20-F); house uses 240 IT MW est. [E]; Q2 KPI basis undefined; hurdles = billed IT MW.</w:t>
            </w:r>
          </w:p>
        </w:tc>
        <w:tc>
          <w:tcPr>
            <w:tcW w:type="dxa" w:w="2520"/>
            <w:shd w:val="clear" w:color="auto" w:fill="E8EEF7"/>
          </w:tcPr>
          <w:p>
            <w:r>
              <w:rPr>
                <w:b w:val="0"/>
                <w:sz w:val="13"/>
              </w:rPr>
              <w:t>Contracted &gt; 3.5 GW (lower bound; 5 GW YE26 target) [R]; energized 181.5 → 193 (Mar → Jun-26) [E]; billed YE26 257.7 / 284.2, FY27 avg 531.84 / 659.16 [D]; connected guide YE26 800 MW-1 GW [R].</w:t>
            </w:r>
          </w:p>
        </w:tc>
        <w:tc>
          <w:tcPr>
            <w:tcW w:type="dxa" w:w="2232"/>
            <w:shd w:val="clear" w:color="auto" w:fill="E8EEF7"/>
          </w:tcPr>
          <w:p>
            <w:r>
              <w:rPr>
                <w:b w:val="0"/>
                <w:sz w:val="13"/>
              </w:rPr>
              <w:t>Vineland: 62 rented gensets (122.9 MW) + ~5 MW grid = ~107 MW IT ceiling; Bloom/LNG for the rest, no energization date [R/P/E].</w:t>
            </w:r>
          </w:p>
        </w:tc>
        <w:tc>
          <w:tcPr>
            <w:tcW w:type="dxa" w:w="2232"/>
            <w:shd w:val="clear" w:color="auto" w:fill="E8EEF7"/>
          </w:tcPr>
          <w:p>
            <w:r>
              <w:rPr>
                <w:b w:val="0"/>
                <w:sz w:val="13"/>
              </w:rPr>
              <w:t>Gensets unpermitted: NJDEP order 9/22, $1.07M penalty, 45-day permit deadline ~early/mid Nov [R]. City stop-work on Bloom/LNG (8/6, 8/10); amended site plan approved 8/17; Oct 14 Planning Board: no DataOne item [R].</w:t>
            </w:r>
          </w:p>
        </w:tc>
        <w:tc>
          <w:tcPr>
            <w:tcW w:type="dxa" w:w="1829"/>
            <w:shd w:val="clear" w:color="auto" w:fill="E8EEF7"/>
          </w:tcPr>
          <w:p>
            <w:r>
              <w:rPr>
                <w:b w:val="0"/>
                <w:color w:val="444444"/>
                <w:sz w:val="11"/>
              </w:rPr>
              <w:t>$: 6-Ks 9/8/25, 11/12/25, 3/16/26; Q2'26 letter + call 8/12/26; model v0.9e Drivers!B6/B9, Debate_Grid!A10/A13/A18. MW: Capacity Quarterly MW M130/N130; Q1/Q2'26 letters. Pwr/permit: NJ Gov. 9/22; capacity/site_verification s.1.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b w:val="0"/>
          <w:color w:val="303030"/>
          <w:sz w:val="11"/>
        </w:rPr>
        <w:t>¹ CoreWeave ~$40M/MW-yr (convert deck 9/17/26 sl.7): annualized revenue on 3-6-month contracts after a ~70% July SKU price rise. It is high because of the short term and GPU-inclusive spot pricing; marginal deals only (fleet $8.24M per avg active MW, Q2'26). MW basis unstated.</w:t>
      </w:r>
    </w:p>
    <w:p>
      <w:pPr>
        <w:spacing w:after="0"/>
      </w:pPr>
      <w:r>
        <w:rPr>
          <w:b w:val="0"/>
          <w:color w:val="303030"/>
          <w:sz w:val="11"/>
        </w:rPr>
        <w:t>² IREN &gt;$20M (recent 3-yr deals) / ~$25M (discussions, unsigned), per MW (IT): high because of the 3-yr tenor (vs the 5-yr Microsoft anchor at $9.7M) and GPU-inclusive cloud pricing (~2-yr payback). Portfolio KPI; no per-deal MW or counterparty.</w:t>
      </w:r>
    </w:p>
    <w:p>
      <w:pPr>
        <w:spacing w:after="0"/>
      </w:pPr>
      <w:r>
        <w:rPr>
          <w:b w:val="0"/>
          <w:color w:val="303030"/>
          <w:sz w:val="11"/>
        </w:rPr>
        <w:t>³ Oracle-OpenAI ~$300B / ~5 yrs / 4.5 GW is WSJ only (P); Oracle filings do not name it. IT read divides 4.5 GW by 1.2.</w:t>
      </w:r>
    </w:p>
    <w:p>
      <w:pPr>
        <w:spacing w:after="0"/>
      </w:pPr>
      <w:r>
        <w:rPr>
          <w:b w:val="0"/>
          <w:color w:val="303030"/>
          <w:sz w:val="11"/>
        </w:rPr>
        <w:t>⁴ Nscale: TCV and MW are from the S-1 (R), but the term years are press (Anthropic 6 yrs, Bloomberg/Reuters) or a 5-6-yr tranche midpoint (Microsoft 5.5), so both prints are tagged P.</w:t>
      </w:r>
    </w:p>
    <w:p>
      <w:pPr>
        <w:spacing w:after="0"/>
      </w:pPr>
      <w:r>
        <w:rPr>
          <w:b w:val="0"/>
          <w:color w:val="303030"/>
          <w:sz w:val="11"/>
        </w:rPr>
        <w:t>⁵ Lambda: $35B, ~350 MW (WSJ/Reuters/Bloomberg, Aug 31) and the 6-yr term (WSJ via TheEnergyMag) are press only and unconfirmed by Lambda or Anthropic; the $50B backlog is from an investor letter reported by WSJ (Oct 6). No S-1/DRS. Medium confidence.</w:t>
      </w:r>
    </w:p>
    <w:p>
      <w:pPr>
        <w:spacing w:after="0"/>
      </w:pPr>
      <w:r>
        <w:rPr>
          <w:b w:val="0"/>
          <w:color w:val="303030"/>
          <w:sz w:val="11"/>
        </w:rPr>
        <w:t>⁶ Crusoe ~$23.3M is whole-term TCV ($140B+) per GROSS contracted MW (6 GW+), not per year, and mixes facility leases, cloud and JV capacity. Not comparable to $/MW-yr (a 5-yr term would be ~$4.7M/MW-yr, illustrative).</w:t>
      </w:r>
    </w:p>
    <w:p>
      <w:pPr>
        <w:spacing w:after="0"/>
      </w:pPr>
      <w:r>
        <w:rPr>
          <w:b w:val="0"/>
          <w:color w:val="303030"/>
          <w:sz w:val="11"/>
        </w:rPr>
        <w:t>⁷ Nebius $20-25M (four Q2'26 deals) and &gt;$40M: high because of 1-3-yr and up-to-6-month tenors vs 5-yr anchors and GPU-inclusive full-stack ACV; MW basis undefined. Q3 is NOT reported: '&gt;$40M' is a mgmt comment on Q3-to-date short-term pricing - Q2'26 letter KPI chart (6-K Ex.99.2, 8/12/26, sec.gov/Archives/edgar/data/1513845/000110465926094568/tm2622968d1_ex99-2.htm) and CEO Volozh, Q2'26 call 8/12/26 ('negotiating ... $40-$50 million per megawatt ... one such deal has been signed'; stockanalysis.com/stocks/nbis/transcripts/655490-q2-2026/).</w:t>
      </w:r>
    </w:p>
    <w:p>
      <w:pPr>
        <w:spacing w:after="0"/>
      </w:pPr>
      <w:r>
        <w:rPr>
          <w:b w:val="0"/>
          <w:color w:val="303030"/>
          <w:sz w:val="11"/>
        </w:rPr>
        <w:t>⁸ Nebius hurdles = REQUIRED revenue per billed IT MW, not contract prints (GPU-inclusive full-stack revenue). Model v0.9e cells: non-MSFT 27.63 = Drivers!B9 = (12,300-2,643.8)/(531.84-182.33); clear-spot base 24.51 = Drivers!B6 (= Judge_Slide!B8, PT $237.15) / high 22.68 = Debate_Grid!A18; turn-positive base 17.05 = Debate_Grid!A13 / high 16.70 = Debate_Grid!A10. Separate memo line (not a hurdle): $23.13M = Street FY27 ÷ our 531.8 billed MW, all customers [D] = Drivers!B10 = $12,300M / 531.84 (= Judge_Slide!B16); includes the Microsoft anchor, unlike the ~$27.6M non-MSFT hurdle.</w:t>
      </w:r>
    </w:p>
    <w:p>
      <w:pPr>
        <w:spacing w:after="0"/>
      </w:pPr>
      <w:r>
        <w:rPr>
          <w:b w:val="0"/>
          <w:color w:val="303030"/>
          <w:sz w:val="11"/>
        </w:rPr>
        <w:t>⁹ Bitdeer A201 &lt;= $22.4M: a CEILING because contracted MW is a floor (&gt;70% of ~21.7 MW; 100% = 15.7); GPU-inclusive GB300 cloud (not a powered shell); 5-yr; customers unnamed; MW basis unstated in Bitdeer's releases ('critical IT' per secondary sources only, P). Source: GPU Market agent market/contract_economics.xlsx MidTerm_20M_Search (re-read Bitdeer PR 9/29/26).</w:t>
      </w:r>
    </w:p>
    <w:p>
      <w:pPr>
        <w:spacing w:after="0"/>
      </w:pPr>
      <w:r>
        <w:rPr>
          <w:b w:val="0"/>
          <w:color w:val="303030"/>
          <w:sz w:val="11"/>
        </w:rPr>
        <w:t xml:space="preserve">HEADLINE: Only one contract with disclosed MW reaches $20M/MW: Bitdeer, ~15 MW, a &lt;= $22.4M ceiling, basis from secondary sources. COMP BAND unchanged at $9.7-16.7M per MW-yr (low IREN-Microsoft 9.7, IT; top Lambda-Anthropic 16.7, P, Medium); Bitdeer's ceiling sits outside the band as a near-miss (model Drivers!B13). </w:t>
      </w:r>
    </w:p>
    <w:p>
      <w:pPr>
        <w:spacing w:after="0"/>
      </w:pPr>
      <w:r>
        <w:rPr>
          <w:b w:val="0"/>
          <w:color w:val="303030"/>
          <w:sz w:val="11"/>
        </w:rPr>
        <w:t>¹⁰ Nebius-Microsoft $14.49M per IT MW [E, house] = model Contracts!E12 = $17,392.9M / (5 x 240 IT MW est.); agrees with the Drivers 14.5 input (Inputs!F111). No MW stated by Nebius/Microsoft.</w:t>
      </w:r>
    </w:p>
    <w:p>
      <w:pPr>
        <w:spacing w:after="0"/>
      </w:pPr>
      <w:r>
        <w:rPr>
          <w:b w:val="0"/>
          <w:color w:val="303030"/>
          <w:sz w:val="11"/>
        </w:rPr>
        <w:t>¹¹ Nebius-Meta #1 $11.52M [E] = $2,880.7M / 5 / ~50 IT MW (team estimate; filings and Capacity state no MW; model Contracts!D23:D24 = 48.0). One of GPU Market's eight band prints (Print_Table #3; final band slide); band ends unchanged.</w:t>
      </w:r>
    </w:p>
    <w:p>
      <w:pPr>
        <w:spacing w:after="0"/>
      </w:pPr>
      <w:r>
        <w:rPr>
          <w:b w:val="0"/>
          <w:color w:val="303030"/>
          <w:sz w:val="11"/>
        </w:rPr>
        <w:t>Tags: R reported/primary; D derived by us from R inputs; P press-only (or any press input); E estimate (team model/alt-data); n/d not disclosed. Red bold = print &gt;= $20M/MW. Active = in service as evidenced (site appendices). Nebius Q3'26 ~Nov 10 (est.). Sources/URLs: peer_benchmark.xlsx Sources tab.</w:t>
      </w:r>
    </w:p>
    <w:sectPr w:rsidR="00FC693F" w:rsidRPr="0006063C" w:rsidSect="00034616">
      <w:pgSz w:w="15840" w:h="12240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