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1F4E8C"/>
          <w:sz w:val="22"/>
        </w:rPr>
        <w:t>Peer KPI appendix: Nebius vs CoreWeave, IREN, Oracle (OCI), Nscale, Lambda and Crusoe</w:t>
      </w:r>
    </w:p>
    <w:p>
      <w:pPr>
        <w:spacing w:after="60"/>
      </w:pPr>
      <w:r>
        <w:rPr>
          <w:b w:val="0"/>
          <w:i w:val="0"/>
          <w:sz w:val="13"/>
        </w:rPr>
        <w:t>$ per MW-yr, contracted vs live MW, capex per MW. As of Fri Oct 9, 2026 (ET); frozen for Sun Oct 11 finals. Read from the locked team files (comparison.xlsx, peer_benchmark.xlsx, price_or_mw.xlsx, site appendices, model v0.9e); every value tagged [R reported | D derived | P press | E estimate | n/d]; superscripts = footnotes. Not a valuation; Nebius Q3'26 results ~Nov 10 (est.).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10" w:type="dxa"/>
          <w:bottom w:w="10" w:type="dxa"/>
          <w:left w:w="25" w:type="dxa"/>
          <w:right w:w="25" w:type="dxa"/>
        </w:tblCellMar>
      </w:tblPr>
      <w:tblGrid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</w:tblGrid>
      <w:tr>
        <w:tc>
          <w:tcPr>
            <w:tcW w:type="dxa" w:w="1224"/>
            <w:shd w:val="clear" w:color="auto" w:fill="1F4E8C"/>
          </w:tcPr>
          <w:p>
            <w:r>
              <w:rPr>
                <w:b/>
                <w:color w:val="FFFFFF"/>
                <w:sz w:val="12"/>
              </w:rPr>
              <w:t>Company</w:t>
            </w:r>
          </w:p>
        </w:tc>
        <w:tc>
          <w:tcPr>
            <w:tcW w:type="dxa" w:w="2520"/>
            <w:shd w:val="clear" w:color="auto" w:fill="1F4E8C"/>
          </w:tcPr>
          <w:p>
            <w:r>
              <w:rPr>
                <w:b/>
                <w:color w:val="FFFFFF"/>
                <w:sz w:val="12"/>
              </w:rPr>
              <w:t>Named-contract $M per MW-yr¹</w:t>
            </w:r>
          </w:p>
        </w:tc>
        <w:tc>
          <w:tcPr>
            <w:tcW w:type="dxa" w:w="1944"/>
            <w:shd w:val="clear" w:color="auto" w:fill="1F4E8C"/>
          </w:tcPr>
          <w:p>
            <w:r>
              <w:rPr>
                <w:b/>
                <w:color w:val="FFFFFF"/>
                <w:sz w:val="12"/>
              </w:rPr>
              <w:t>Company $/MW print ($M)³</w:t>
            </w:r>
          </w:p>
        </w:tc>
        <w:tc>
          <w:tcPr>
            <w:tcW w:type="dxa" w:w="1037"/>
            <w:shd w:val="clear" w:color="auto" w:fill="1F4E8C"/>
          </w:tcPr>
          <w:p>
            <w:r>
              <w:rPr>
                <w:b/>
                <w:color w:val="FFFFFF"/>
                <w:sz w:val="12"/>
              </w:rPr>
              <w:t>Rev / active MW (K01)⁴</w:t>
            </w:r>
          </w:p>
        </w:tc>
        <w:tc>
          <w:tcPr>
            <w:tcW w:type="dxa" w:w="1368"/>
            <w:shd w:val="clear" w:color="auto" w:fill="1F4E8C"/>
          </w:tcPr>
          <w:p>
            <w:r>
              <w:rPr>
                <w:b/>
                <w:color w:val="FFFFFF"/>
                <w:sz w:val="12"/>
              </w:rPr>
              <w:t>Fwd rev / billed MW⁴</w:t>
            </w:r>
          </w:p>
        </w:tc>
        <w:tc>
          <w:tcPr>
            <w:tcW w:type="dxa" w:w="1123"/>
            <w:shd w:val="clear" w:color="auto" w:fill="1F4E8C"/>
          </w:tcPr>
          <w:p>
            <w:r>
              <w:rPr>
                <w:b/>
                <w:color w:val="FFFFFF"/>
                <w:sz w:val="12"/>
              </w:rPr>
              <w:t>Contracted MW⁶</w:t>
            </w:r>
          </w:p>
        </w:tc>
        <w:tc>
          <w:tcPr>
            <w:tcW w:type="dxa" w:w="1037"/>
            <w:shd w:val="clear" w:color="auto" w:fill="1F4E8C"/>
          </w:tcPr>
          <w:p>
            <w:r>
              <w:rPr>
                <w:b/>
                <w:color w:val="FFFFFF"/>
                <w:sz w:val="12"/>
              </w:rPr>
              <w:t>Live MW⁶</w:t>
            </w:r>
          </w:p>
        </w:tc>
        <w:tc>
          <w:tcPr>
            <w:tcW w:type="dxa" w:w="893"/>
            <w:shd w:val="clear" w:color="auto" w:fill="1F4E8C"/>
          </w:tcPr>
          <w:p>
            <w:r>
              <w:rPr>
                <w:b/>
                <w:color w:val="FFFFFF"/>
                <w:sz w:val="12"/>
              </w:rPr>
              <w:t>Contracted / live</w:t>
            </w:r>
          </w:p>
        </w:tc>
        <w:tc>
          <w:tcPr>
            <w:tcW w:type="dxa" w:w="893"/>
            <w:shd w:val="clear" w:color="auto" w:fill="1F4E8C"/>
          </w:tcPr>
          <w:p>
            <w:r>
              <w:rPr>
                <w:b/>
                <w:color w:val="FFFFFF"/>
                <w:sz w:val="12"/>
              </w:rPr>
              <w:t>Capex / MW (K13)⁹</w:t>
            </w:r>
          </w:p>
        </w:tc>
        <w:tc>
          <w:tcPr>
            <w:tcW w:type="dxa" w:w="950"/>
            <w:shd w:val="clear" w:color="auto" w:fill="1F4E8C"/>
          </w:tcPr>
          <w:p>
            <w:r>
              <w:rPr>
                <w:b/>
                <w:color w:val="FFFFFF"/>
                <w:sz w:val="12"/>
              </w:rPr>
              <w:t>Net PP&amp;E / MW (K14)⁹</w:t>
            </w:r>
          </w:p>
        </w:tc>
        <w:tc>
          <w:tcPr>
            <w:tcW w:type="dxa" w:w="1843"/>
            <w:shd w:val="clear" w:color="auto" w:fill="1F4E8C"/>
          </w:tcPr>
          <w:p>
            <w:r>
              <w:rPr>
                <w:b/>
                <w:color w:val="FFFFFF"/>
                <w:sz w:val="12"/>
              </w:rPr>
              <w:t>MW notes (key site)</w:t>
            </w:r>
          </w:p>
        </w:tc>
      </w:tr>
      <w:tr>
        <w:tc>
          <w:tcPr>
            <w:tcW w:type="dxa" w:w="1224"/>
            <w:shd w:val="clear" w:color="auto" w:fill="E8EEF7"/>
          </w:tcPr>
          <w:p>
            <w:r>
              <w:rPr>
                <w:b/>
                <w:color w:val="1F4E8C"/>
                <w:sz w:val="12"/>
              </w:rPr>
              <w:t>Nebius</w:t>
            </w:r>
          </w:p>
        </w:tc>
        <w:tc>
          <w:tcPr>
            <w:tcW w:type="dxa" w:w="2520"/>
            <w:shd w:val="clear" w:color="auto" w:fill="E8EEF7"/>
          </w:tcPr>
          <w:p>
            <w:r>
              <w:rPr>
                <w:b w:val="0"/>
                <w:sz w:val="12"/>
              </w:rPr>
              <w:t>14.49 Microsoft [E, house]; Meta #1 $11.52M [E, MW is a team estimate of ~50 IT MW]²,¹¹</w:t>
            </w:r>
          </w:p>
        </w:tc>
        <w:tc>
          <w:tcPr>
            <w:tcW w:type="dxa" w:w="1944"/>
            <w:shd w:val="clear" w:color="auto" w:fill="E8EEF7"/>
          </w:tcPr>
          <w:p>
            <w:r>
              <w:rPr>
                <w:b w:val="0"/>
                <w:sz w:val="12"/>
              </w:rPr>
              <w:t>20–25 (Q2'26 deals); &gt;40 mgmt comment; base ~12 [R]</w:t>
            </w:r>
          </w:p>
        </w:tc>
        <w:tc>
          <w:tcPr>
            <w:tcW w:type="dxa" w:w="1037"/>
            <w:shd w:val="clear" w:color="auto" w:fill="E8EEF7"/>
          </w:tcPr>
          <w:p>
            <w:r>
              <w:rPr>
                <w:b w:val="0"/>
                <w:sz w:val="12"/>
              </w:rPr>
              <w:t>11.92 [E] (Jun-26)</w:t>
            </w:r>
          </w:p>
        </w:tc>
        <w:tc>
          <w:tcPr>
            <w:tcW w:type="dxa" w:w="1368"/>
            <w:shd w:val="clear" w:color="auto" w:fill="E8EEF7"/>
          </w:tcPr>
          <w:p>
            <w:r>
              <w:rPr>
                <w:b w:val="0"/>
                <w:sz w:val="12"/>
              </w:rPr>
              <w:t>23.13 all customers [D]; ex-MSFT hurdle 27.63 [D]⁵</w:t>
            </w:r>
          </w:p>
        </w:tc>
        <w:tc>
          <w:tcPr>
            <w:tcW w:type="dxa" w:w="1123"/>
            <w:shd w:val="clear" w:color="auto" w:fill="E8EEF7"/>
          </w:tcPr>
          <w:p>
            <w:r>
              <w:rPr>
                <w:b w:val="0"/>
                <w:sz w:val="12"/>
              </w:rPr>
              <w:t>&gt;3,500 [R]</w:t>
            </w:r>
          </w:p>
        </w:tc>
        <w:tc>
          <w:tcPr>
            <w:tcW w:type="dxa" w:w="1037"/>
            <w:shd w:val="clear" w:color="auto" w:fill="E8EEF7"/>
          </w:tcPr>
          <w:p>
            <w:r>
              <w:rPr>
                <w:b w:val="0"/>
                <w:sz w:val="12"/>
              </w:rPr>
              <w:t>181.5→193 [E]; billed YE26 257.7/284.2, FY27 531.84/659.16 [D]</w:t>
            </w:r>
          </w:p>
        </w:tc>
        <w:tc>
          <w:tcPr>
            <w:tcW w:type="dxa" w:w="893"/>
            <w:shd w:val="clear" w:color="auto" w:fill="E8EEF7"/>
          </w:tcPr>
          <w:p>
            <w:r>
              <w:rPr>
                <w:b w:val="0"/>
                <w:sz w:val="12"/>
              </w:rPr>
              <w:t>&gt;18.1x [D]</w:t>
            </w:r>
          </w:p>
        </w:tc>
        <w:tc>
          <w:tcPr>
            <w:tcW w:type="dxa" w:w="893"/>
            <w:shd w:val="clear" w:color="auto" w:fill="E8EEF7"/>
          </w:tcPr>
          <w:p>
            <w:r>
              <w:rPr>
                <w:b w:val="0"/>
                <w:sz w:val="12"/>
              </w:rPr>
              <w:t>77.9 [E]</w:t>
            </w:r>
          </w:p>
        </w:tc>
        <w:tc>
          <w:tcPr>
            <w:tcW w:type="dxa" w:w="950"/>
            <w:shd w:val="clear" w:color="auto" w:fill="E8EEF7"/>
          </w:tcPr>
          <w:p>
            <w:r>
              <w:rPr>
                <w:b w:val="0"/>
                <w:sz w:val="12"/>
              </w:rPr>
              <w:t>67.6 [E]</w:t>
            </w:r>
          </w:p>
        </w:tc>
        <w:tc>
          <w:tcPr>
            <w:tcW w:type="dxa" w:w="1843"/>
            <w:shd w:val="clear" w:color="auto" w:fill="E8EEF7"/>
          </w:tcPr>
          <w:p>
            <w:r>
              <w:rPr>
                <w:b w:val="0"/>
                <w:sz w:val="12"/>
              </w:rPr>
              <w:t>IT/energized; contracted &gt;3.5 GW is a lower bound (5 GW YE26 target) [R]</w:t>
            </w:r>
          </w:p>
        </w:tc>
      </w:tr>
      <w:tr>
        <w:tc>
          <w:tcPr>
            <w:tcW w:type="dxa" w:w="1224"/>
          </w:tcPr>
          <w:p>
            <w:r>
              <w:rPr>
                <w:b/>
                <w:color w:val="1F4E8C"/>
                <w:sz w:val="12"/>
              </w:rPr>
              <w:t>CoreWeave</w:t>
            </w:r>
          </w:p>
        </w:tc>
        <w:tc>
          <w:tcPr>
            <w:tcW w:type="dxa" w:w="2520"/>
          </w:tcPr>
          <w:p>
            <w:r>
              <w:rPr>
                <w:b w:val="0"/>
                <w:sz w:val="12"/>
              </w:rPr>
              <w:t>n/d (no MW on any named deal)</w:t>
            </w:r>
          </w:p>
        </w:tc>
        <w:tc>
          <w:tcPr>
            <w:tcW w:type="dxa" w:w="1944"/>
          </w:tcPr>
          <w:p>
            <w:r>
              <w:rPr>
                <w:b w:val="0"/>
                <w:sz w:val="12"/>
              </w:rPr>
              <w:t>~40 (3–6-mo deals) [R]</w:t>
            </w:r>
          </w:p>
        </w:tc>
        <w:tc>
          <w:tcPr>
            <w:tcW w:type="dxa" w:w="1037"/>
          </w:tcPr>
          <w:p>
            <w:r>
              <w:rPr>
                <w:b w:val="0"/>
                <w:sz w:val="12"/>
              </w:rPr>
              <w:t>6.87 [D] (Jun-26)</w:t>
            </w:r>
          </w:p>
        </w:tc>
        <w:tc>
          <w:tcPr>
            <w:tcW w:type="dxa" w:w="1368"/>
          </w:tcPr>
          <w:p>
            <w:r>
              <w:rPr>
                <w:b w:val="0"/>
                <w:sz w:val="12"/>
              </w:rPr>
              <w:t>11.29 [E] (Street FY27 / base avg MW 2,325)</w:t>
            </w:r>
          </w:p>
        </w:tc>
        <w:tc>
          <w:tcPr>
            <w:tcW w:type="dxa" w:w="1123"/>
          </w:tcPr>
          <w:p>
            <w:r>
              <w:rPr>
                <w:b w:val="0"/>
                <w:sz w:val="12"/>
              </w:rPr>
              <w:t>3,700 [R]</w:t>
            </w:r>
          </w:p>
        </w:tc>
        <w:tc>
          <w:tcPr>
            <w:tcW w:type="dxa" w:w="1037"/>
          </w:tcPr>
          <w:p>
            <w:r>
              <w:rPr>
                <w:b w:val="0"/>
                <w:sz w:val="12"/>
              </w:rPr>
              <w:t>1,500 [R]</w:t>
            </w:r>
          </w:p>
        </w:tc>
        <w:tc>
          <w:tcPr>
            <w:tcW w:type="dxa" w:w="893"/>
          </w:tcPr>
          <w:p>
            <w:r>
              <w:rPr>
                <w:b w:val="0"/>
                <w:sz w:val="12"/>
              </w:rPr>
              <w:t>2.5x [D]</w:t>
            </w:r>
          </w:p>
        </w:tc>
        <w:tc>
          <w:tcPr>
            <w:tcW w:type="dxa" w:w="893"/>
          </w:tcPr>
          <w:p>
            <w:r>
              <w:rPr>
                <w:b w:val="0"/>
                <w:sz w:val="12"/>
              </w:rPr>
              <w:t>20.0 [D]</w:t>
            </w:r>
          </w:p>
        </w:tc>
        <w:tc>
          <w:tcPr>
            <w:tcW w:type="dxa" w:w="950"/>
          </w:tcPr>
          <w:p>
            <w:r>
              <w:rPr>
                <w:b w:val="0"/>
                <w:sz w:val="12"/>
              </w:rPr>
              <w:t>31.2 [D]</w:t>
            </w:r>
          </w:p>
        </w:tc>
        <w:tc>
          <w:tcPr>
            <w:tcW w:type="dxa" w:w="1843"/>
          </w:tcPr>
          <w:p>
            <w:r>
              <w:rPr>
                <w:b w:val="0"/>
                <w:sz w:val="12"/>
              </w:rPr>
              <w:t>IT-like active; ~4,200 contracted Aug-11 [R]; Denton ~260 IT live [D]</w:t>
            </w:r>
          </w:p>
        </w:tc>
      </w:tr>
      <w:tr>
        <w:tc>
          <w:tcPr>
            <w:tcW w:type="dxa" w:w="1224"/>
          </w:tcPr>
          <w:p>
            <w:r>
              <w:rPr>
                <w:b/>
                <w:color w:val="1F4E8C"/>
                <w:sz w:val="12"/>
              </w:rPr>
              <w:t>IREN</w:t>
            </w:r>
          </w:p>
        </w:tc>
        <w:tc>
          <w:tcPr>
            <w:tcW w:type="dxa" w:w="2520"/>
          </w:tcPr>
          <w:p>
            <w:r>
              <w:rPr>
                <w:b w:val="0"/>
                <w:sz w:val="12"/>
              </w:rPr>
              <w:t>9.7–11.3 (Microsoft IT; NVIDIA stated) [D]</w:t>
            </w:r>
          </w:p>
        </w:tc>
        <w:tc>
          <w:tcPr>
            <w:tcW w:type="dxa" w:w="1944"/>
          </w:tcPr>
          <w:p>
            <w:r>
              <w:rPr>
                <w:b w:val="0"/>
                <w:sz w:val="12"/>
              </w:rPr>
              <w:t>&gt;20 (3-yr); ~25 unsigned [R]</w:t>
            </w:r>
          </w:p>
        </w:tc>
        <w:tc>
          <w:tcPr>
            <w:tcW w:type="dxa" w:w="1037"/>
          </w:tcPr>
          <w:p>
            <w:r>
              <w:rPr>
                <w:b w:val="0"/>
                <w:sz w:val="12"/>
              </w:rPr>
              <w:t>7.05 [D] (Jun-26)</w:t>
            </w:r>
          </w:p>
        </w:tc>
        <w:tc>
          <w:tcPr>
            <w:tcW w:type="dxa" w:w="1368"/>
          </w:tcPr>
          <w:p>
            <w:r>
              <w:rPr>
                <w:b w:val="0"/>
                <w:sz w:val="12"/>
              </w:rPr>
              <w:t>13.33 [D (R/R)] (YE26 ARR $4B / 300 IT MW)</w:t>
            </w:r>
          </w:p>
        </w:tc>
        <w:tc>
          <w:tcPr>
            <w:tcW w:type="dxa" w:w="1123"/>
          </w:tcPr>
          <w:p>
            <w:r>
              <w:rPr>
                <w:b w:val="0"/>
                <w:sz w:val="12"/>
              </w:rPr>
              <w:t>260 [D]⁸</w:t>
            </w:r>
          </w:p>
        </w:tc>
        <w:tc>
          <w:tcPr>
            <w:tcW w:type="dxa" w:w="1037"/>
          </w:tcPr>
          <w:p>
            <w:r>
              <w:rPr>
                <w:b w:val="0"/>
                <w:sz w:val="12"/>
              </w:rPr>
              <w:t>~40 [R]</w:t>
            </w:r>
          </w:p>
        </w:tc>
        <w:tc>
          <w:tcPr>
            <w:tcW w:type="dxa" w:w="893"/>
          </w:tcPr>
          <w:p>
            <w:r>
              <w:rPr>
                <w:b w:val="0"/>
                <w:sz w:val="12"/>
              </w:rPr>
              <w:t>≤6.5x [D]⁸</w:t>
            </w:r>
          </w:p>
        </w:tc>
        <w:tc>
          <w:tcPr>
            <w:tcW w:type="dxa" w:w="893"/>
          </w:tcPr>
          <w:p>
            <w:r>
              <w:rPr>
                <w:b w:val="0"/>
                <w:sz w:val="12"/>
              </w:rPr>
              <w:t>n/d</w:t>
            </w:r>
          </w:p>
        </w:tc>
        <w:tc>
          <w:tcPr>
            <w:tcW w:type="dxa" w:w="950"/>
          </w:tcPr>
          <w:p>
            <w:r>
              <w:rPr>
                <w:b w:val="0"/>
                <w:sz w:val="12"/>
              </w:rPr>
              <w:t>n/d</w:t>
            </w:r>
          </w:p>
        </w:tc>
        <w:tc>
          <w:tcPr>
            <w:tcW w:type="dxa" w:w="1843"/>
          </w:tcPr>
          <w:p>
            <w:r>
              <w:rPr>
                <w:b w:val="0"/>
                <w:sz w:val="12"/>
              </w:rPr>
              <w:t>IT (AI); Childress ~75 IT active Oct [D, site]</w:t>
            </w:r>
          </w:p>
        </w:tc>
      </w:tr>
      <w:tr>
        <w:tc>
          <w:tcPr>
            <w:tcW w:type="dxa" w:w="1224"/>
          </w:tcPr>
          <w:p>
            <w:r>
              <w:rPr>
                <w:b/>
                <w:color w:val="1F4E8C"/>
                <w:sz w:val="12"/>
              </w:rPr>
              <w:t>Oracle OCI</w:t>
            </w:r>
          </w:p>
        </w:tc>
        <w:tc>
          <w:tcPr>
            <w:tcW w:type="dxa" w:w="2520"/>
          </w:tcPr>
          <w:p>
            <w:r>
              <w:rPr>
                <w:b w:val="0"/>
                <w:sz w:val="12"/>
              </w:rPr>
              <w:t>13.3 stated / 16.0 IT read (OpenAI) [P]</w:t>
            </w:r>
          </w:p>
        </w:tc>
        <w:tc>
          <w:tcPr>
            <w:tcW w:type="dxa" w:w="1944"/>
          </w:tcPr>
          <w:p>
            <w:r>
              <w:rPr>
                <w:b w:val="0"/>
                <w:sz w:val="12"/>
              </w:rPr>
              <w:t>n/d</w:t>
            </w:r>
          </w:p>
        </w:tc>
        <w:tc>
          <w:tcPr>
            <w:tcW w:type="dxa" w:w="1037"/>
          </w:tcPr>
          <w:p>
            <w:r>
              <w:rPr>
                <w:b w:val="0"/>
                <w:sz w:val="12"/>
              </w:rPr>
              <w:t>n/d</w:t>
            </w:r>
          </w:p>
        </w:tc>
        <w:tc>
          <w:tcPr>
            <w:tcW w:type="dxa" w:w="1368"/>
          </w:tcPr>
          <w:p>
            <w:r>
              <w:rPr>
                <w:b w:val="0"/>
                <w:sz w:val="12"/>
              </w:rPr>
              <w:t>14.42 [D/E] (OCI annualized / ~2,050 cum. MW)</w:t>
            </w:r>
          </w:p>
        </w:tc>
        <w:tc>
          <w:tcPr>
            <w:tcW w:type="dxa" w:w="1123"/>
          </w:tcPr>
          <w:p>
            <w:r>
              <w:rPr>
                <w:b w:val="0"/>
                <w:sz w:val="12"/>
              </w:rPr>
              <w:t>&gt;10 GW [R, FQ1 FY27 call Sep 10]⁷</w:t>
            </w:r>
          </w:p>
        </w:tc>
        <w:tc>
          <w:tcPr>
            <w:tcW w:type="dxa" w:w="1037"/>
          </w:tcPr>
          <w:p>
            <w:r>
              <w:rPr>
                <w:b w:val="0"/>
                <w:sz w:val="12"/>
              </w:rPr>
              <w:t>~2,050 [E]⁷</w:t>
            </w:r>
          </w:p>
        </w:tc>
        <w:tc>
          <w:tcPr>
            <w:tcW w:type="dxa" w:w="893"/>
          </w:tcPr>
          <w:p>
            <w:r>
              <w:rPr>
                <w:b w:val="0"/>
                <w:sz w:val="12"/>
              </w:rPr>
              <w:t>n/d⁷</w:t>
            </w:r>
          </w:p>
        </w:tc>
        <w:tc>
          <w:tcPr>
            <w:tcW w:type="dxa" w:w="893"/>
          </w:tcPr>
          <w:p>
            <w:r>
              <w:rPr>
                <w:b w:val="0"/>
                <w:sz w:val="12"/>
              </w:rPr>
              <w:t>46.4 [E]</w:t>
            </w:r>
          </w:p>
        </w:tc>
        <w:tc>
          <w:tcPr>
            <w:tcW w:type="dxa" w:w="950"/>
          </w:tcPr>
          <w:p>
            <w:r>
              <w:rPr>
                <w:b w:val="0"/>
                <w:sz w:val="12"/>
              </w:rPr>
              <w:t>n/d</w:t>
            </w:r>
          </w:p>
        </w:tc>
        <w:tc>
          <w:tcPr>
            <w:tcW w:type="dxa" w:w="1843"/>
          </w:tcPr>
          <w:p>
            <w:r>
              <w:rPr>
                <w:b w:val="0"/>
                <w:sz w:val="12"/>
              </w:rPr>
              <w:t>cum. delivered (likely gross); '&gt;10 GW secured'; Port Washington 0 live [R]</w:t>
            </w:r>
          </w:p>
        </w:tc>
      </w:tr>
      <w:tr>
        <w:tc>
          <w:tcPr>
            <w:tcW w:type="dxa" w:w="1224"/>
          </w:tcPr>
          <w:p>
            <w:r>
              <w:rPr>
                <w:b/>
                <w:color w:val="1F4E8C"/>
                <w:sz w:val="12"/>
              </w:rPr>
              <w:t>Nscale</w:t>
            </w:r>
          </w:p>
        </w:tc>
        <w:tc>
          <w:tcPr>
            <w:tcW w:type="dxa" w:w="2520"/>
          </w:tcPr>
          <w:p>
            <w:r>
              <w:rPr>
                <w:b w:val="0"/>
                <w:sz w:val="12"/>
              </w:rPr>
              <w:t>11.7–16.2 (Narvik D; MSFT 13.4 P; Anthropic P) [D / P]</w:t>
            </w:r>
          </w:p>
        </w:tc>
        <w:tc>
          <w:tcPr>
            <w:tcW w:type="dxa" w:w="1944"/>
          </w:tcPr>
          <w:p>
            <w:r>
              <w:rPr>
                <w:b w:val="0"/>
                <w:sz w:val="12"/>
              </w:rPr>
              <w:t>n/d</w:t>
            </w:r>
          </w:p>
        </w:tc>
        <w:tc>
          <w:tcPr>
            <w:tcW w:type="dxa" w:w="1037"/>
          </w:tcPr>
          <w:p>
            <w:r>
              <w:rPr>
                <w:b w:val="0"/>
                <w:sz w:val="12"/>
              </w:rPr>
              <w:t>3.47 [D] (2026-06-30)</w:t>
            </w:r>
          </w:p>
        </w:tc>
        <w:tc>
          <w:tcPr>
            <w:tcW w:type="dxa" w:w="1368"/>
          </w:tcPr>
          <w:p>
            <w:r>
              <w:rPr>
                <w:b w:val="0"/>
                <w:sz w:val="12"/>
              </w:rPr>
              <w:t>n/d</w:t>
            </w:r>
          </w:p>
        </w:tc>
        <w:tc>
          <w:tcPr>
            <w:tcW w:type="dxa" w:w="1123"/>
          </w:tcPr>
          <w:p>
            <w:r>
              <w:rPr>
                <w:b w:val="0"/>
                <w:sz w:val="12"/>
              </w:rPr>
              <w:t>1,370 [R]</w:t>
            </w:r>
          </w:p>
        </w:tc>
        <w:tc>
          <w:tcPr>
            <w:tcW w:type="dxa" w:w="1037"/>
          </w:tcPr>
          <w:p>
            <w:r>
              <w:rPr>
                <w:b w:val="0"/>
                <w:sz w:val="12"/>
              </w:rPr>
              <w:t>≤81 [D]</w:t>
            </w:r>
          </w:p>
        </w:tc>
        <w:tc>
          <w:tcPr>
            <w:tcW w:type="dxa" w:w="893"/>
          </w:tcPr>
          <w:p>
            <w:r>
              <w:rPr>
                <w:b w:val="0"/>
                <w:sz w:val="12"/>
              </w:rPr>
              <w:t>16.9x [D]</w:t>
            </w:r>
          </w:p>
        </w:tc>
        <w:tc>
          <w:tcPr>
            <w:tcW w:type="dxa" w:w="893"/>
          </w:tcPr>
          <w:p>
            <w:r>
              <w:rPr>
                <w:b w:val="0"/>
                <w:sz w:val="12"/>
              </w:rPr>
              <w:t>n/d</w:t>
            </w:r>
          </w:p>
        </w:tc>
        <w:tc>
          <w:tcPr>
            <w:tcW w:type="dxa" w:w="950"/>
          </w:tcPr>
          <w:p>
            <w:r>
              <w:rPr>
                <w:b w:val="0"/>
                <w:sz w:val="12"/>
              </w:rPr>
              <w:t>70.7 [D]</w:t>
            </w:r>
          </w:p>
        </w:tc>
        <w:tc>
          <w:tcPr>
            <w:tcW w:type="dxa" w:w="1843"/>
          </w:tcPr>
          <w:p>
            <w:r>
              <w:rPr>
                <w:b w:val="0"/>
                <w:sz w:val="12"/>
              </w:rPr>
              <w:t>IT; Monarch 460 IT contracted / 0 live [R]</w:t>
            </w:r>
          </w:p>
        </w:tc>
      </w:tr>
      <w:tr>
        <w:tc>
          <w:tcPr>
            <w:tcW w:type="dxa" w:w="1224"/>
          </w:tcPr>
          <w:p>
            <w:r>
              <w:rPr>
                <w:b/>
                <w:color w:val="1F4E8C"/>
                <w:sz w:val="12"/>
              </w:rPr>
              <w:t>Lambda</w:t>
            </w:r>
          </w:p>
        </w:tc>
        <w:tc>
          <w:tcPr>
            <w:tcW w:type="dxa" w:w="2520"/>
          </w:tcPr>
          <w:p>
            <w:r>
              <w:rPr>
                <w:b w:val="0"/>
                <w:sz w:val="12"/>
              </w:rPr>
              <w:t>16.7 Anthropic (band top) [P]</w:t>
            </w:r>
          </w:p>
        </w:tc>
        <w:tc>
          <w:tcPr>
            <w:tcW w:type="dxa" w:w="1944"/>
          </w:tcPr>
          <w:p>
            <w:r>
              <w:rPr>
                <w:b w:val="0"/>
                <w:sz w:val="12"/>
              </w:rPr>
              <w:t>n/d</w:t>
            </w:r>
          </w:p>
        </w:tc>
        <w:tc>
          <w:tcPr>
            <w:tcW w:type="dxa" w:w="1037"/>
          </w:tcPr>
          <w:p>
            <w:r>
              <w:rPr>
                <w:b w:val="0"/>
                <w:sz w:val="12"/>
              </w:rPr>
              <w:t>9.70 [D (P inputs)] (2025-06-30)</w:t>
            </w:r>
          </w:p>
        </w:tc>
        <w:tc>
          <w:tcPr>
            <w:tcW w:type="dxa" w:w="1368"/>
          </w:tcPr>
          <w:p>
            <w:r>
              <w:rPr>
                <w:b w:val="0"/>
                <w:sz w:val="12"/>
              </w:rPr>
              <w:t>n/d</w:t>
            </w:r>
          </w:p>
        </w:tc>
        <w:tc>
          <w:tcPr>
            <w:tcW w:type="dxa" w:w="1123"/>
          </w:tcPr>
          <w:p>
            <w:r>
              <w:rPr>
                <w:b w:val="0"/>
                <w:sz w:val="12"/>
              </w:rPr>
              <w:t>n/d</w:t>
            </w:r>
          </w:p>
        </w:tc>
        <w:tc>
          <w:tcPr>
            <w:tcW w:type="dxa" w:w="1037"/>
          </w:tcPr>
          <w:p>
            <w:r>
              <w:rPr>
                <w:b w:val="0"/>
                <w:sz w:val="12"/>
              </w:rPr>
              <w:t>47 [P]</w:t>
            </w:r>
          </w:p>
        </w:tc>
        <w:tc>
          <w:tcPr>
            <w:tcW w:type="dxa" w:w="893"/>
          </w:tcPr>
          <w:p>
            <w:r>
              <w:rPr>
                <w:b w:val="0"/>
                <w:sz w:val="12"/>
              </w:rPr>
              <w:t>n/d</w:t>
            </w:r>
          </w:p>
        </w:tc>
        <w:tc>
          <w:tcPr>
            <w:tcW w:type="dxa" w:w="893"/>
          </w:tcPr>
          <w:p>
            <w:r>
              <w:rPr>
                <w:b w:val="0"/>
                <w:sz w:val="12"/>
              </w:rPr>
              <w:t>n/d</w:t>
            </w:r>
          </w:p>
        </w:tc>
        <w:tc>
          <w:tcPr>
            <w:tcW w:type="dxa" w:w="950"/>
          </w:tcPr>
          <w:p>
            <w:r>
              <w:rPr>
                <w:b w:val="0"/>
                <w:sz w:val="12"/>
              </w:rPr>
              <w:t>n/d</w:t>
            </w:r>
          </w:p>
        </w:tc>
        <w:tc>
          <w:tcPr>
            <w:tcW w:type="dxa" w:w="1843"/>
          </w:tcPr>
          <w:p>
            <w:r>
              <w:rPr>
                <w:b w:val="0"/>
                <w:sz w:val="12"/>
              </w:rPr>
              <w:t>unstated; Beacon Point ~350 [P]; KC ~12 IT live [E]</w:t>
            </w:r>
          </w:p>
        </w:tc>
      </w:tr>
      <w:tr>
        <w:tc>
          <w:tcPr>
            <w:tcW w:type="dxa" w:w="1224"/>
          </w:tcPr>
          <w:p>
            <w:r>
              <w:rPr>
                <w:b/>
                <w:color w:val="1F4E8C"/>
                <w:sz w:val="12"/>
              </w:rPr>
              <w:t>Crusoe</w:t>
            </w:r>
          </w:p>
        </w:tc>
        <w:tc>
          <w:tcPr>
            <w:tcW w:type="dxa" w:w="2520"/>
          </w:tcPr>
          <w:p>
            <w:r>
              <w:rPr>
                <w:b w:val="0"/>
                <w:sz w:val="12"/>
              </w:rPr>
              <w:t>n/d (no value with MW)</w:t>
            </w:r>
          </w:p>
        </w:tc>
        <w:tc>
          <w:tcPr>
            <w:tcW w:type="dxa" w:w="1944"/>
          </w:tcPr>
          <w:p>
            <w:r>
              <w:rPr>
                <w:b w:val="0"/>
                <w:sz w:val="12"/>
              </w:rPr>
              <w:t>~23.3 per gross MW, whole term (not /yr) [D]</w:t>
            </w:r>
          </w:p>
        </w:tc>
        <w:tc>
          <w:tcPr>
            <w:tcW w:type="dxa" w:w="1037"/>
          </w:tcPr>
          <w:p>
            <w:r>
              <w:rPr>
                <w:b w:val="0"/>
                <w:sz w:val="12"/>
              </w:rPr>
              <w:t>2.00 [E] (2026-09-17)</w:t>
            </w:r>
          </w:p>
        </w:tc>
        <w:tc>
          <w:tcPr>
            <w:tcW w:type="dxa" w:w="1368"/>
          </w:tcPr>
          <w:p>
            <w:r>
              <w:rPr>
                <w:b w:val="0"/>
                <w:sz w:val="12"/>
              </w:rPr>
              <w:t>n/d</w:t>
            </w:r>
          </w:p>
        </w:tc>
        <w:tc>
          <w:tcPr>
            <w:tcW w:type="dxa" w:w="1123"/>
          </w:tcPr>
          <w:p>
            <w:r>
              <w:rPr>
                <w:b w:val="0"/>
                <w:sz w:val="12"/>
              </w:rPr>
              <w:t>6,000 [R]</w:t>
            </w:r>
          </w:p>
        </w:tc>
        <w:tc>
          <w:tcPr>
            <w:tcW w:type="dxa" w:w="1037"/>
          </w:tcPr>
          <w:p>
            <w:r>
              <w:rPr>
                <w:b w:val="0"/>
                <w:sz w:val="12"/>
              </w:rPr>
              <w:t>~1,000 [R]</w:t>
            </w:r>
          </w:p>
        </w:tc>
        <w:tc>
          <w:tcPr>
            <w:tcW w:type="dxa" w:w="893"/>
          </w:tcPr>
          <w:p>
            <w:r>
              <w:rPr>
                <w:b w:val="0"/>
                <w:sz w:val="12"/>
              </w:rPr>
              <w:t>6.0x [D]</w:t>
            </w:r>
          </w:p>
        </w:tc>
        <w:tc>
          <w:tcPr>
            <w:tcW w:type="dxa" w:w="893"/>
          </w:tcPr>
          <w:p>
            <w:r>
              <w:rPr>
                <w:b w:val="0"/>
                <w:sz w:val="12"/>
              </w:rPr>
              <w:t>n/d</w:t>
            </w:r>
          </w:p>
        </w:tc>
        <w:tc>
          <w:tcPr>
            <w:tcW w:type="dxa" w:w="950"/>
          </w:tcPr>
          <w:p>
            <w:r>
              <w:rPr>
                <w:b w:val="0"/>
                <w:sz w:val="12"/>
              </w:rPr>
              <w:t>12.5 [D]</w:t>
            </w:r>
          </w:p>
        </w:tc>
        <w:tc>
          <w:tcPr>
            <w:tcW w:type="dxa" w:w="1843"/>
          </w:tcPr>
          <w:p>
            <w:r>
              <w:rPr>
                <w:b w:val="0"/>
                <w:sz w:val="12"/>
              </w:rPr>
              <w:t>GROSS; Abilene 618 IT live of 1.2 GW gross [D on R]</w:t>
            </w:r>
          </w:p>
        </w:tc>
      </w:tr>
      <w:tr>
        <w:tc>
          <w:tcPr>
            <w:tcW w:type="dxa" w:w="1224"/>
            <w:shd w:val="clear" w:color="auto" w:fill="F2F2F2"/>
          </w:tcPr>
          <w:p>
            <w:r>
              <w:rPr>
                <w:b/>
                <w:sz w:val="12"/>
              </w:rPr>
              <w:t>Peer median</w:t>
            </w:r>
          </w:p>
        </w:tc>
        <w:tc>
          <w:tcPr>
            <w:tcW w:type="dxa" w:w="2520"/>
            <w:shd w:val="clear" w:color="auto" w:fill="F2F2F2"/>
          </w:tcPr>
          <w:p>
            <w:r>
              <w:rPr>
                <w:b/>
                <w:sz w:val="12"/>
              </w:rPr>
              <w:t>band 9.7–16.7 (Nebius excl.)¹</w:t>
            </w:r>
          </w:p>
        </w:tc>
        <w:tc>
          <w:tcPr>
            <w:tcW w:type="dxa" w:w="1944"/>
            <w:shd w:val="clear" w:color="auto" w:fill="F2F2F2"/>
          </w:tcPr>
          <w:p>
            <w:r>
              <w:rPr>
                <w:b/>
                <w:sz w:val="12"/>
              </w:rPr>
            </w:r>
          </w:p>
        </w:tc>
        <w:tc>
          <w:tcPr>
            <w:tcW w:type="dxa" w:w="1037"/>
            <w:shd w:val="clear" w:color="auto" w:fill="F2F2F2"/>
          </w:tcPr>
          <w:p>
            <w:r>
              <w:rPr>
                <w:b/>
                <w:sz w:val="12"/>
              </w:rPr>
              <w:t>6.87 [D]</w:t>
            </w:r>
          </w:p>
        </w:tc>
        <w:tc>
          <w:tcPr>
            <w:tcW w:type="dxa" w:w="1368"/>
            <w:shd w:val="clear" w:color="auto" w:fill="F2F2F2"/>
          </w:tcPr>
          <w:p>
            <w:r>
              <w:rPr>
                <w:b/>
                <w:sz w:val="12"/>
              </w:rPr>
            </w:r>
          </w:p>
        </w:tc>
        <w:tc>
          <w:tcPr>
            <w:tcW w:type="dxa" w:w="1123"/>
            <w:shd w:val="clear" w:color="auto" w:fill="F2F2F2"/>
          </w:tcPr>
          <w:p>
            <w:r>
              <w:rPr>
                <w:b/>
                <w:sz w:val="12"/>
              </w:rPr>
            </w:r>
          </w:p>
        </w:tc>
        <w:tc>
          <w:tcPr>
            <w:tcW w:type="dxa" w:w="1037"/>
            <w:shd w:val="clear" w:color="auto" w:fill="F2F2F2"/>
          </w:tcPr>
          <w:p>
            <w:r>
              <w:rPr>
                <w:b/>
                <w:sz w:val="12"/>
              </w:rPr>
            </w:r>
          </w:p>
        </w:tc>
        <w:tc>
          <w:tcPr>
            <w:tcW w:type="dxa" w:w="893"/>
            <w:shd w:val="clear" w:color="auto" w:fill="F2F2F2"/>
          </w:tcPr>
          <w:p>
            <w:r>
              <w:rPr>
                <w:b/>
                <w:sz w:val="12"/>
              </w:rPr>
              <w:t>6.0x [D]</w:t>
            </w:r>
          </w:p>
        </w:tc>
        <w:tc>
          <w:tcPr>
            <w:tcW w:type="dxa" w:w="893"/>
            <w:shd w:val="clear" w:color="auto" w:fill="F2F2F2"/>
          </w:tcPr>
          <w:p>
            <w:r>
              <w:rPr>
                <w:b/>
                <w:sz w:val="12"/>
              </w:rPr>
              <w:t>33.2 [D]</w:t>
            </w:r>
          </w:p>
        </w:tc>
        <w:tc>
          <w:tcPr>
            <w:tcW w:type="dxa" w:w="950"/>
            <w:shd w:val="clear" w:color="auto" w:fill="F2F2F2"/>
          </w:tcPr>
          <w:p>
            <w:r>
              <w:rPr>
                <w:b/>
                <w:sz w:val="12"/>
              </w:rPr>
              <w:t>50.9 [D]</w:t>
            </w:r>
          </w:p>
        </w:tc>
        <w:tc>
          <w:tcPr>
            <w:tcW w:type="dxa" w:w="1843"/>
            <w:shd w:val="clear" w:color="auto" w:fill="F2F2F2"/>
          </w:tcPr>
          <w:p>
            <w:r>
              <w:rPr>
                <w:b/>
                <w:sz w:val="12"/>
              </w:rPr>
              <w:t>comparison.xlsx sets; IREN ratio and Crusoe K14 excluded</w:t>
            </w:r>
          </w:p>
        </w:tc>
      </w:tr>
      <w:tr>
        <w:tc>
          <w:tcPr>
            <w:tcW w:type="dxa" w:w="1224"/>
          </w:tcPr>
          <w:p>
            <w:r>
              <w:rPr>
                <w:i/>
                <w:color w:val="C00000"/>
                <w:sz w:val="12"/>
              </w:rPr>
              <w:t>Bitdeer AI (ref.)</w:t>
            </w:r>
          </w:p>
        </w:tc>
        <w:tc>
          <w:tcPr>
            <w:tcW w:type="dxa" w:w="2520"/>
          </w:tcPr>
          <w:p>
            <w:r>
              <w:rPr>
                <w:i/>
                <w:color w:val="C00000"/>
                <w:sz w:val="12"/>
              </w:rPr>
              <w:t>≤22.4 A201 Johor, ceiling [D, basis P]¹⁰</w:t>
            </w:r>
          </w:p>
        </w:tc>
        <w:tc>
          <w:tcPr>
            <w:tcW w:type="dxa" w:w="1944"/>
          </w:tcPr>
          <w:p>
            <w:r>
              <w:rPr>
                <w:i/>
                <w:color w:val="C00000"/>
                <w:sz w:val="12"/>
              </w:rPr>
              <w:t>n/d</w:t>
            </w:r>
          </w:p>
        </w:tc>
        <w:tc>
          <w:tcPr>
            <w:tcW w:type="dxa" w:w="1037"/>
          </w:tcPr>
          <w:p>
            <w:r>
              <w:rPr>
                <w:i/>
                <w:color w:val="C00000"/>
                <w:sz w:val="12"/>
              </w:rPr>
              <w:t>n/d</w:t>
            </w:r>
          </w:p>
        </w:tc>
        <w:tc>
          <w:tcPr>
            <w:tcW w:type="dxa" w:w="1368"/>
          </w:tcPr>
          <w:p>
            <w:r>
              <w:rPr>
                <w:i/>
                <w:color w:val="C00000"/>
                <w:sz w:val="12"/>
              </w:rPr>
              <w:t>n/d</w:t>
            </w:r>
          </w:p>
        </w:tc>
        <w:tc>
          <w:tcPr>
            <w:tcW w:type="dxa" w:w="1123"/>
          </w:tcPr>
          <w:p>
            <w:r>
              <w:rPr>
                <w:i/>
                <w:color w:val="C00000"/>
                <w:sz w:val="12"/>
              </w:rPr>
              <w:t>≥15.2 of ~21.7 [R]</w:t>
            </w:r>
          </w:p>
        </w:tc>
        <w:tc>
          <w:tcPr>
            <w:tcW w:type="dxa" w:w="1037"/>
          </w:tcPr>
          <w:p>
            <w:r>
              <w:rPr>
                <w:i/>
                <w:color w:val="C00000"/>
                <w:sz w:val="12"/>
              </w:rPr>
              <w:t>0 [R]</w:t>
            </w:r>
          </w:p>
        </w:tc>
        <w:tc>
          <w:tcPr>
            <w:tcW w:type="dxa" w:w="893"/>
          </w:tcPr>
          <w:p>
            <w:r>
              <w:rPr>
                <w:i/>
                <w:color w:val="C00000"/>
                <w:sz w:val="12"/>
              </w:rPr>
              <w:t>n/m</w:t>
            </w:r>
          </w:p>
        </w:tc>
        <w:tc>
          <w:tcPr>
            <w:tcW w:type="dxa" w:w="893"/>
          </w:tcPr>
          <w:p>
            <w:r>
              <w:rPr>
                <w:i/>
                <w:color w:val="C00000"/>
                <w:sz w:val="12"/>
              </w:rPr>
              <w:t>n/d</w:t>
            </w:r>
          </w:p>
        </w:tc>
        <w:tc>
          <w:tcPr>
            <w:tcW w:type="dxa" w:w="950"/>
          </w:tcPr>
          <w:p>
            <w:r>
              <w:rPr>
                <w:i/>
                <w:color w:val="C00000"/>
                <w:sz w:val="12"/>
              </w:rPr>
              <w:t>n/d</w:t>
            </w:r>
          </w:p>
        </w:tc>
        <w:tc>
          <w:tcPr>
            <w:tcW w:type="dxa" w:w="1843"/>
          </w:tcPr>
          <w:p>
            <w:r>
              <w:rPr>
                <w:i/>
                <w:color w:val="C00000"/>
                <w:sz w:val="12"/>
              </w:rPr>
              <w:t>not one of the six; energized Q1'27–Q1'28</w:t>
            </w:r>
          </w:p>
        </w:tc>
      </w:tr>
    </w:tbl>
    <w:p>
      <w:pPr>
        <w:spacing w:after="0"/>
      </w:pPr>
      <w:r>
        <w:rPr>
          <w:b w:val="0"/>
          <w:i w:val="0"/>
          <w:sz w:val="6"/>
        </w:rPr>
      </w:r>
    </w:p>
    <w:p>
      <w:pPr>
        <w:spacing w:after="40"/>
      </w:pPr>
      <w:r>
        <w:rPr>
          <w:b/>
          <w:i w:val="0"/>
          <w:color w:val="1F4E8C"/>
          <w:sz w:val="13"/>
        </w:rPr>
        <w:t>NEBIUS LOCKS (model v0.9e, asserted by the build): Microsoft $14.49M per IT MW [E, house] (Contracts!E12) only · ex-MSFT hurdle $27.63M [D] · $23.13M = Street FY27 ÷ our 531.8 billed MW, all customers [D] · clear-spot $24.51M / $22.68M · turn-positive $17.05M / $16.70M · energized 181.5→193 MW [E] · billed YE26 257.7/284.2, FY27 531.84/659.16 [D] · K13 capex/MW 77.9 vs peer median 33.18 · comp band $9.7–16.7M · Bitdeer ≤$22.4M is the only disclosed-MW print ≥ $20M.</w:t>
      </w:r>
    </w:p>
    <w:p>
      <w:pPr>
        <w:spacing w:after="40"/>
      </w:pPr>
      <w:r>
        <w:rPr>
          <w:b w:val="0"/>
          <w:i w:val="0"/>
          <w:sz w:val="12"/>
        </w:rPr>
        <w:t>HEADLINES: Nebius: ex-MSFT hurdle $27.63M is ~1.7x the band top; live 193 MW vs &gt;3.5 GW contracted (18.1x); capex/MW 77.9 vs median 33.2. | CoreWeave: no MW on named deals; ~$40M print is 3–6-mo pricing; 2.5x contracted/live; lowest capex/MW (20.0). | IREN: named 9.7–11.3 (band floor); &gt;$20M only on 3-yr deals; 260 vs ~40 MW. | Oracle: OpenAI 13.3–16.0 [P]; &gt;10 GW secured vs ~2,050 delivered; capex/MW 46.4. | Nscale: 11.7–16.2; ~17x contracted/live (≤81 live). | Lambda: Anthropic 16.7 sets the band top [P]; company MW n/d. | Crusoe: no per-deal $/MW; ~$23.3M is whole-term per gross MW; 6x.</w:t>
      </w:r>
    </w:p>
    <w:p>
      <w:r>
        <w:rPr>
          <w:b/>
          <w:sz w:val="11"/>
        </w:rPr>
        <w:t xml:space="preserve">1 </w:t>
      </w:r>
      <w:r>
        <w:rPr>
          <w:sz w:val="11"/>
        </w:rPr>
        <w:t>Named contracts = TCV ÷ term ÷ MW, IT MW where disclosed, else stated MW (comparison.xlsx Contracts_$MWyr cols V/W = peer_benchmark.xlsx Contracts col K, asserted equal). Comp band $9.7–16.7M = IREN-Microsoft 9.7 to Lambda-Anthropic 16.7 (P, Medium); same ends on the memo set (P1/NEW1/P2/O1/NEW2/O2, Nebius excluded) and on GPU Market's eight band prints (incl. Nebius-Meta #1 11.52 and Nebius-Microsoft 14.49).</w:t>
      </w:r>
    </w:p>
    <w:p>
      <w:r>
        <w:rPr>
          <w:b/>
          <w:sz w:val="11"/>
        </w:rPr>
        <w:t xml:space="preserve">2 </w:t>
      </w:r>
      <w:r>
        <w:rPr>
          <w:sz w:val="11"/>
        </w:rPr>
        <w:t>Nebius-Microsoft $14.49M per IT MW [E, house] = model Contracts!E12 = 17,392.9 / (5 x 240 IT MW est.); neither company states the contract MW (300 MW = Vineland site size). Agrees with the Drivers 14.5 input.</w:t>
      </w:r>
    </w:p>
    <w:p>
      <w:r>
        <w:rPr>
          <w:b/>
          <w:sz w:val="11"/>
        </w:rPr>
        <w:t xml:space="preserve">3 </w:t>
      </w:r>
      <w:r>
        <w:rPr>
          <w:sz w:val="11"/>
        </w:rPr>
        <w:t>Company prints are not single contracts; MW basis undefined; short tenors and GPU-inclusive pricing. Nebius &gt;$40M = management comment on Q3-to-date short-term pricing (Q2'26 letter KPI chart; CEO on the Aug 12 2026 call), not reported Q3. Crusoe ~$23.3M is whole-term TCV per GROSS MW, not per year.</w:t>
      </w:r>
    </w:p>
    <w:p>
      <w:r>
        <w:rPr>
          <w:b/>
          <w:sz w:val="11"/>
        </w:rPr>
        <w:t xml:space="preserve">4 </w:t>
      </w:r>
      <w:r>
        <w:rPr>
          <w:sz w:val="11"/>
        </w:rPr>
        <w:t>K01 = latest-quarter segment revenue x4 ÷ period-end active MW (comparison.xlsx; bases differ: Crusoe FY26E revenue / ~1 GW gross; Lambda Q2'25 press). Fwd = price_or_mw.xlsx Implied_Price (FY27 or run-rate ÷ avg billed MW).</w:t>
      </w:r>
    </w:p>
    <w:p>
      <w:r>
        <w:rPr>
          <w:b/>
          <w:sz w:val="11"/>
        </w:rPr>
        <w:t xml:space="preserve">5 </w:t>
      </w:r>
      <w:r>
        <w:rPr>
          <w:sz w:val="11"/>
        </w:rPr>
        <w:t>Nebius hurdles (model v0.9e) are REQUIRED revenue per billed IT MW: ex-MSFT $27.63M (Drivers!B9, peer comparator); $23.13M = Street FY27 ÷ our 531.8 billed MW, all customers [D] (Drivers!B10, memo); clear-spot $24.51M / $22.68M (Drivers!B6 / Debate_Grid!A18); turn-positive $17.05M / $16.70M (Debate_Grid!A13 / A10).</w:t>
      </w:r>
    </w:p>
    <w:p>
      <w:r>
        <w:rPr>
          <w:b/>
          <w:sz w:val="11"/>
        </w:rPr>
        <w:t xml:space="preserve">6 </w:t>
      </w:r>
      <w:r>
        <w:rPr>
          <w:sz w:val="11"/>
        </w:rPr>
        <w:t>MW bases are mixed (IT vs gross). Nebius live = energized 181.5 -&gt; 193 MW (Q1 -&gt; Q2'26, Capacity base case, E); contracted &gt;3.5 GW is a lower bound (R). Billed IT MW (model v0.9e): YE26 257.7 / 284.2; FY27 avg 531.84 / 659.16.</w:t>
      </w:r>
    </w:p>
    <w:p>
      <w:r>
        <w:rPr>
          <w:b/>
          <w:sz w:val="11"/>
        </w:rPr>
        <w:t xml:space="preserve">7 </w:t>
      </w:r>
      <w:r>
        <w:rPr>
          <w:sz w:val="11"/>
        </w:rPr>
        <w:t>Oracle contracted/live n/d. Contracted '&gt;10 GW secured' [R, FQ1 FY27 call Sep 10] (not a filed contract figure). Live ~2,050 = AI MW delivered since Jun-25 (E; peers/oracle Inputs!P48 I45E); installed base n/d.</w:t>
      </w:r>
    </w:p>
    <w:p>
      <w:r>
        <w:rPr>
          <w:b/>
          <w:sz w:val="11"/>
        </w:rPr>
        <w:t xml:space="preserve">8 </w:t>
      </w:r>
      <w:r>
        <w:rPr>
          <w:sz w:val="11"/>
        </w:rPr>
        <w:t>IREN contracted/live ≤6.5x [D] (upper bound; not in the median). Live = ~40 MW AI Cloud operating capacity at Jun 30, 2026 (FY26 10-K, R), company-wide; excludes Horizon 1 (50 IT MW, accepted Aug 13). Childress ~75 MW active (Oct, D) is one site and not used. Contracted ~260 IT = Microsoft 200 + NVIDIA ~60 (D).</w:t>
      </w:r>
    </w:p>
    <w:p>
      <w:r>
        <w:rPr>
          <w:b/>
          <w:sz w:val="11"/>
        </w:rPr>
        <w:t xml:space="preserve">9 </w:t>
      </w:r>
      <w:r>
        <w:rPr>
          <w:sz w:val="11"/>
        </w:rPr>
        <w:t>K13 = trailing-4Q cash capex ÷ trailing-4Q new active MW; K14 = net PP&amp;E ÷ active MW (comparison.xlsx). Nebius capex funds not-yet-live MW (Worse vs median). Crusoe K14 = Abilene JV shell+power only, excluded from the median.</w:t>
      </w:r>
    </w:p>
    <w:p>
      <w:r>
        <w:rPr>
          <w:b/>
          <w:sz w:val="11"/>
        </w:rPr>
        <w:t xml:space="preserve">10 </w:t>
      </w:r>
      <w:r>
        <w:rPr>
          <w:sz w:val="11"/>
        </w:rPr>
        <w:t>Bitdeer A201 &lt;= $22.4M is a CEILING (contracted MW is a floor: &gt;70% of ~21.7 MW; 15.7 if 100%); MW basis P. It is the only contract with disclosed MW at &gt;= $20M/MW (peer_benchmark Contracts; comparison has none).</w:t>
      </w:r>
    </w:p>
    <w:p>
      <w:r>
        <w:rPr>
          <w:b/>
          <w:sz w:val="11"/>
        </w:rPr>
        <w:t xml:space="preserve">11 </w:t>
      </w:r>
      <w:r>
        <w:rPr>
          <w:sz w:val="11"/>
        </w:rPr>
        <w:t>Nebius-Meta #1 $11.52M [E, MW is a team estimate of ~50 IT MW] = $2,880.7M / 5 / ~50 (comparison.xlsx N2 = peer_benchmark N2). Sources: GPU Market market/contract_economics.xlsx Print_Table #3 and final band slide (contract_band_slide_final.png); Nebius filings and Capacity (Capacity tranches G3:H3 = n/d) state no MW; model Contracts!D23:D24 = 48.0 IT MW. One of the eight band prints; band ends unchanged at $9.7M / $16.7M.</w:t>
      </w:r>
    </w:p>
    <w:p>
      <w:pPr>
        <w:spacing w:after="0"/>
      </w:pPr>
      <w:r>
        <w:rPr>
          <w:b w:val="0"/>
          <w:i w:val="0"/>
          <w:color w:val="606060"/>
          <w:sz w:val="11"/>
        </w:rPr>
        <w:t>Sources: comparison.xlsx; benchmark/peer_benchmark.xlsx (+ its Sources keys: SEC 8-K/6-K/S-1, company PRs, WSJ/Reuters/Bloomberg); price_or_mw.xlsx; sites/sites.xlsx + site appendices; model/nebius_model.xlsx v0.9e; capacity/nebius_capacity.xlsx. Full list: peer_kpi_appendix.xlsx Sources tab.</w:t>
      </w:r>
    </w:p>
    <w:p>
      <w:r>
        <w:br w:type="page"/>
      </w:r>
    </w:p>
    <w:p>
      <w:pPr>
        <w:spacing w:after="40"/>
      </w:pPr>
      <w:r>
        <w:rPr>
          <w:b/>
          <w:i w:val="0"/>
          <w:color w:val="1F4E8C"/>
          <w:sz w:val="18"/>
        </w:rPr>
        <w:t>Charts: $ per MW-yr vs Nebius hurdles; contracted vs live MW; capex per MW vs peer median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63840" cy="37017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usd_per_mw_y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370178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734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8954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_contracted_vs_live_m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895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4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8954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_capex_per_m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895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  <w:r>
        <w:rPr>
          <w:b w:val="0"/>
          <w:i w:val="0"/>
          <w:color w:val="606060"/>
          <w:sz w:val="11"/>
        </w:rPr>
        <w:t>All values from the table on page 1 (same files, same tags). Charts are context for the appendix table, not new estimates.</w:t>
      </w:r>
    </w:p>
    <w:sectPr w:rsidR="00FC693F" w:rsidRPr="0006063C" w:rsidSect="00034616">
      <w:pgSz w:w="15840" w:h="12240" w:orient="landscape"/>
      <w:pgMar w:top="432" w:right="504" w:bottom="432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 w:eastAsia="Arial"/>
      <w:sz w:val="1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