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sz w:val="21"/>
        </w:rPr>
        <w:t>Appendix: Oracle (OCI) Port Washington, WI (Vantage 'Lighthouse'; Stargate) site status, as of Thu Oct 8, 2026, ~3:15 PM ET</w:t>
      </w:r>
    </w:p>
    <w:p>
      <w:pPr>
        <w:spacing w:after="30" w:before="0"/>
      </w:pPr>
      <w:r>
        <w:rPr>
          <w:b w:val="0"/>
          <w:sz w:val="15"/>
        </w:rPr>
        <w:t>Why this site: Oracle's largest live AI site is Abilene, the SAME campus as Crusoe Abilene (Oracle is the tenant), so it is counted once, under Crusoe. Port Washington is Oracle's separable key site. Shackelford County TX (Oracle: 'our next gigawatt scale campus', not delivered in FQ1) not built: thinner public record (gap). Grade: Yellow/Red vs end-2027 handover (unchanged).</w:t>
      </w:r>
    </w:p>
    <w:p>
      <w:pPr>
        <w:spacing w:after="40" w:before="0"/>
      </w:pPr>
      <w:r>
        <w:rPr>
          <w:b w:val="0"/>
          <w:sz w:val="15"/>
        </w:rPr>
        <w:t>Definitions (team, as in capacity/vineland_site_appendix): Announced = company-stated build-out. Connected = power delivered into fully built, equipped halls (can sit idle until GPUs arrive); grid/utility MW is shown on its own row and is NOT IT MW. Active = power used by installed, operating IT. Billed = revenue-generating IT MW. Tags: R reported (company/regulator), P press/third party, D derived, E estimated, n/d not disclosed. [n] = sources.</w:t>
      </w:r>
    </w:p>
    <w:tbl>
      <w:tblPr>
        <w:tblW w:type="dxa" w:w="14975"/>
        <w:tblLayout w:type="fixed"/>
        <w:tblLook w:firstColumn="1" w:firstRow="1" w:lastColumn="0" w:lastRow="0" w:noHBand="0" w:noVBand="1" w:val="04A0"/>
        <w:tblCellMar>
          <w:left w:w="0" w:type="dxa"/>
          <w:right w:w="144" w:type="dxa"/>
          <w:top w:w="0" w:type="dxa"/>
          <w:bottom w:w="0" w:type="dxa"/>
        </w:tblCellMar>
        <w:tblLayout w:type="fixed"/>
      </w:tblPr>
      <w:tblGrid>
        <w:gridCol w:w="7487"/>
        <w:gridCol w:w="7487"/>
      </w:tblGrid>
      <w:tr>
        <w:tc>
          <w:tcPr>
            <w:tcW w:type="dxa" w:w="7488"/>
          </w:tcPr>
          <w:p>
            <w:pPr>
              <w:spacing w:after="20" w:before="0"/>
            </w:pPr>
            <w:r>
              <w:rPr>
                <w:b/>
                <w:sz w:val="17"/>
              </w:rPr>
              <w:t>1. Site facts</w:t>
            </w:r>
          </w:p>
          <w:tbl>
            <w:tblPr>
              <w:tblStyle w:val="TableGrid"/>
              <w:tblW w:type="dxa" w:w="7343"/>
              <w:tblLayout w:type="fixed"/>
              <w:tblLook w:firstColumn="1" w:firstRow="1" w:lastColumn="0" w:lastRow="0" w:noHBand="0" w:noVBand="1" w:val="04A0"/>
              <w:tblCellMar>
                <w:left w:w="35" w:type="dxa"/>
                <w:right w:w="35" w:type="dxa"/>
                <w:top w:w="0" w:type="dxa"/>
                <w:bottom w:w="0" w:type="dxa"/>
              </w:tblCellMar>
              <w:tblLayout w:type="fixed"/>
            </w:tblPr>
            <w:tblGrid>
              <w:gridCol w:w="1440"/>
              <w:gridCol w:w="4824"/>
              <w:gridCol w:w="576"/>
              <w:gridCol w:w="503"/>
            </w:tblGrid>
            <w:tr>
              <w:tc>
                <w:tcPr>
                  <w:tcW w:type="dxa" w:w="1440"/>
                  <w:shd w:val="clear" w:color="auto" w:fill="D9E2F3"/>
                </w:tcPr>
                <w:p>
                  <w:pPr>
                    <w:spacing w:after="0"/>
                  </w:pPr>
                  <w:r>
                    <w:rPr>
                      <w:b/>
                      <w:sz w:val="15"/>
                    </w:rPr>
                    <w:t>Item</w:t>
                  </w:r>
                </w:p>
              </w:tc>
              <w:tc>
                <w:tcPr>
                  <w:tcW w:type="dxa" w:w="4824"/>
                  <w:shd w:val="clear" w:color="auto" w:fill="D9E2F3"/>
                </w:tcPr>
                <w:p>
                  <w:pPr>
                    <w:spacing w:after="0"/>
                  </w:pPr>
                  <w:r>
                    <w:rPr>
                      <w:b/>
                      <w:sz w:val="15"/>
                    </w:rPr>
                    <w:t>Fact</w:t>
                  </w:r>
                </w:p>
              </w:tc>
              <w:tc>
                <w:tcPr>
                  <w:tcW w:type="dxa" w:w="576"/>
                  <w:shd w:val="clear" w:color="auto" w:fill="D9E2F3"/>
                </w:tcPr>
                <w:p>
                  <w:pPr>
                    <w:spacing w:after="0"/>
                  </w:pPr>
                  <w:r>
                    <w:rPr>
                      <w:b/>
                      <w:sz w:val="15"/>
                    </w:rPr>
                    <w:t>Tag</w:t>
                  </w:r>
                </w:p>
              </w:tc>
              <w:tc>
                <w:tcPr>
                  <w:tcW w:type="dxa" w:w="504"/>
                  <w:shd w:val="clear" w:color="auto" w:fill="D9E2F3"/>
                </w:tcPr>
                <w:p>
                  <w:pPr>
                    <w:spacing w:after="0"/>
                  </w:pPr>
                  <w:r>
                    <w:rPr>
                      <w:b/>
                      <w:sz w:val="15"/>
                    </w:rPr>
                    <w:t>Src</w:t>
                  </w:r>
                </w:p>
              </w:tc>
            </w:tr>
            <w:tr>
              <w:tc>
                <w:tcPr>
                  <w:tcW w:type="dxa" w:w="1440"/>
                </w:tcPr>
                <w:p>
                  <w:pPr>
                    <w:spacing w:after="0"/>
                  </w:pPr>
                  <w:r>
                    <w:rPr>
                      <w:b/>
                      <w:sz w:val="15"/>
                    </w:rPr>
                    <w:t>Developer / owner</w:t>
                  </w:r>
                </w:p>
              </w:tc>
              <w:tc>
                <w:tcPr>
                  <w:tcW w:type="dxa" w:w="4824"/>
                </w:tcPr>
                <w:p>
                  <w:pPr>
                    <w:spacing w:after="0"/>
                  </w:pPr>
                  <w:r>
                    <w:rPr>
                      <w:sz w:val="15"/>
                    </w:rPr>
                    <w:t>Vantage Data Centers (Wisco Acquisition Co.); $15B; 4 bldgs, ~2.5M sf</w:t>
                  </w:r>
                </w:p>
              </w:tc>
              <w:tc>
                <w:tcPr>
                  <w:tcW w:type="dxa" w:w="576"/>
                </w:tcPr>
                <w:p>
                  <w:pPr>
                    <w:spacing w:after="0"/>
                  </w:pPr>
                  <w:r>
                    <w:rPr>
                      <w:sz w:val="15"/>
                    </w:rPr>
                    <w:t>R; P</w:t>
                  </w:r>
                </w:p>
              </w:tc>
              <w:tc>
                <w:tcPr>
                  <w:tcW w:type="dxa" w:w="504"/>
                </w:tcPr>
                <w:p>
                  <w:pPr>
                    <w:spacing w:after="0"/>
                  </w:pPr>
                  <w:r>
                    <w:rPr>
                      <w:sz w:val="15"/>
                    </w:rPr>
                    <w:t>1, 2</w:t>
                  </w:r>
                </w:p>
              </w:tc>
            </w:tr>
            <w:tr>
              <w:tc>
                <w:tcPr>
                  <w:tcW w:type="dxa" w:w="1440"/>
                </w:tcPr>
                <w:p>
                  <w:pPr>
                    <w:spacing w:after="0"/>
                  </w:pPr>
                  <w:r>
                    <w:rPr>
                      <w:b/>
                      <w:sz w:val="15"/>
                    </w:rPr>
                    <w:t>Tenant / end user</w:t>
                  </w:r>
                </w:p>
              </w:tc>
              <w:tc>
                <w:tcPr>
                  <w:tcW w:type="dxa" w:w="4824"/>
                </w:tcPr>
                <w:p>
                  <w:pPr>
                    <w:spacing w:after="0"/>
                  </w:pPr>
                  <w:r>
                    <w:rPr>
                      <w:sz w:val="15"/>
                    </w:rPr>
                    <w:t>Oracle (OCI) for OpenAI (Stargate); turnover in phases from end-2027</w:t>
                  </w:r>
                </w:p>
              </w:tc>
              <w:tc>
                <w:tcPr>
                  <w:tcW w:type="dxa" w:w="576"/>
                </w:tcPr>
                <w:p>
                  <w:pPr>
                    <w:spacing w:after="0"/>
                  </w:pPr>
                  <w:r>
                    <w:rPr>
                      <w:sz w:val="15"/>
                    </w:rPr>
                    <w:t>P</w:t>
                  </w:r>
                </w:p>
              </w:tc>
              <w:tc>
                <w:tcPr>
                  <w:tcW w:type="dxa" w:w="504"/>
                </w:tcPr>
                <w:p>
                  <w:pPr>
                    <w:spacing w:after="0"/>
                  </w:pPr>
                  <w:r>
                    <w:rPr>
                      <w:sz w:val="15"/>
                    </w:rPr>
                    <w:t>2</w:t>
                  </w:r>
                </w:p>
              </w:tc>
            </w:tr>
            <w:tr>
              <w:tc>
                <w:tcPr>
                  <w:tcW w:type="dxa" w:w="1440"/>
                </w:tcPr>
                <w:p>
                  <w:pPr>
                    <w:spacing w:after="0"/>
                  </w:pPr>
                  <w:r>
                    <w:rPr>
                      <w:b/>
                      <w:sz w:val="15"/>
                    </w:rPr>
                    <w:t>Location</w:t>
                  </w:r>
                </w:p>
              </w:tc>
              <w:tc>
                <w:tcPr>
                  <w:tcW w:type="dxa" w:w="4824"/>
                </w:tcPr>
                <w:p>
                  <w:pPr>
                    <w:spacing w:after="0"/>
                  </w:pPr>
                  <w:r>
                    <w:rPr>
                      <w:sz w:val="15"/>
                    </w:rPr>
                    <w:t>North Port Washington, Ozaukee County WI; 672 ac (later phases up to 3.5 GW, press)</w:t>
                  </w:r>
                </w:p>
              </w:tc>
              <w:tc>
                <w:tcPr>
                  <w:tcW w:type="dxa" w:w="576"/>
                </w:tcPr>
                <w:p>
                  <w:pPr>
                    <w:spacing w:after="0"/>
                  </w:pPr>
                  <w:r>
                    <w:rPr>
                      <w:sz w:val="15"/>
                    </w:rPr>
                    <w:t>P</w:t>
                  </w:r>
                </w:p>
              </w:tc>
              <w:tc>
                <w:tcPr>
                  <w:tcW w:type="dxa" w:w="504"/>
                </w:tcPr>
                <w:p>
                  <w:pPr>
                    <w:spacing w:after="0"/>
                  </w:pPr>
                  <w:r>
                    <w:rPr>
                      <w:sz w:val="15"/>
                    </w:rPr>
                    <w:t>1, 3</w:t>
                  </w:r>
                </w:p>
              </w:tc>
            </w:tr>
          </w:tbl>
          <w:p>
            <w:pPr>
              <w:spacing w:before="0" w:after="0" w:lineRule="exact" w:line="40"/>
            </w:pPr>
          </w:p>
          <w:p>
            <w:pPr>
              <w:spacing w:after="20" w:before="50"/>
            </w:pPr>
            <w:r>
              <w:rPr>
                <w:b/>
                <w:sz w:val="17"/>
              </w:rPr>
              <w:t>2. MW: announced / connected / active / billed</w:t>
            </w:r>
          </w:p>
          <w:tbl>
            <w:tblPr>
              <w:tblStyle w:val="TableGrid"/>
              <w:tblW w:type="dxa" w:w="7343"/>
              <w:tblLayout w:type="fixed"/>
              <w:tblLook w:firstColumn="1" w:firstRow="1" w:lastColumn="0" w:lastRow="0" w:noHBand="0" w:noVBand="1" w:val="04A0"/>
              <w:tblCellMar>
                <w:left w:w="35" w:type="dxa"/>
                <w:right w:w="35" w:type="dxa"/>
                <w:top w:w="0" w:type="dxa"/>
                <w:bottom w:w="0" w:type="dxa"/>
              </w:tblCellMar>
              <w:tblLayout w:type="fixed"/>
            </w:tblPr>
            <w:tblGrid>
              <w:gridCol w:w="1800"/>
              <w:gridCol w:w="2304"/>
              <w:gridCol w:w="2088"/>
              <w:gridCol w:w="648"/>
              <w:gridCol w:w="503"/>
            </w:tblGrid>
            <w:tr>
              <w:tc>
                <w:tcPr>
                  <w:tcW w:type="dxa" w:w="1800"/>
                  <w:shd w:val="clear" w:color="auto" w:fill="D9E2F3"/>
                </w:tcPr>
                <w:p>
                  <w:pPr>
                    <w:spacing w:after="0"/>
                  </w:pPr>
                  <w:r>
                    <w:rPr>
                      <w:b/>
                      <w:sz w:val="15"/>
                    </w:rPr>
                    <w:t>Stage</w:t>
                  </w:r>
                </w:p>
              </w:tc>
              <w:tc>
                <w:tcPr>
                  <w:tcW w:type="dxa" w:w="2304"/>
                  <w:shd w:val="clear" w:color="auto" w:fill="D9E2F3"/>
                </w:tcPr>
                <w:p>
                  <w:pPr>
                    <w:spacing w:after="0"/>
                  </w:pPr>
                  <w:r>
                    <w:rPr>
                      <w:b/>
                      <w:sz w:val="15"/>
                    </w:rPr>
                    <w:t>MW</w:t>
                  </w:r>
                </w:p>
              </w:tc>
              <w:tc>
                <w:tcPr>
                  <w:tcW w:type="dxa" w:w="2088"/>
                  <w:shd w:val="clear" w:color="auto" w:fill="D9E2F3"/>
                </w:tcPr>
                <w:p>
                  <w:pPr>
                    <w:spacing w:after="0"/>
                  </w:pPr>
                  <w:r>
                    <w:rPr>
                      <w:b/>
                      <w:sz w:val="15"/>
                    </w:rPr>
                    <w:t>Basis</w:t>
                  </w:r>
                </w:p>
              </w:tc>
              <w:tc>
                <w:tcPr>
                  <w:tcW w:type="dxa" w:w="648"/>
                  <w:shd w:val="clear" w:color="auto" w:fill="D9E2F3"/>
                </w:tcPr>
                <w:p>
                  <w:pPr>
                    <w:spacing w:after="0"/>
                  </w:pPr>
                  <w:r>
                    <w:rPr>
                      <w:b/>
                      <w:sz w:val="15"/>
                    </w:rPr>
                    <w:t>Tag</w:t>
                  </w:r>
                </w:p>
              </w:tc>
              <w:tc>
                <w:tcPr>
                  <w:tcW w:type="dxa" w:w="504"/>
                  <w:shd w:val="clear" w:color="auto" w:fill="D9E2F3"/>
                </w:tcPr>
                <w:p>
                  <w:pPr>
                    <w:spacing w:after="0"/>
                  </w:pPr>
                  <w:r>
                    <w:rPr>
                      <w:b/>
                      <w:sz w:val="15"/>
                    </w:rPr>
                    <w:t>Src</w:t>
                  </w:r>
                </w:p>
              </w:tc>
            </w:tr>
            <w:tr>
              <w:tc>
                <w:tcPr>
                  <w:tcW w:type="dxa" w:w="1800"/>
                </w:tcPr>
                <w:p>
                  <w:pPr>
                    <w:spacing w:after="0"/>
                  </w:pPr>
                  <w:r>
                    <w:rPr>
                      <w:b/>
                      <w:sz w:val="15"/>
                    </w:rPr>
                    <w:t>Announced</w:t>
                  </w:r>
                </w:p>
              </w:tc>
              <w:tc>
                <w:tcPr>
                  <w:tcW w:type="dxa" w:w="2304"/>
                </w:tcPr>
                <w:p>
                  <w:pPr>
                    <w:spacing w:after="0"/>
                  </w:pPr>
                  <w:r>
                    <w:rPr>
                      <w:sz w:val="15"/>
                    </w:rPr>
                    <w:t>~902 IT / 1.3 GW electrical</w:t>
                  </w:r>
                </w:p>
              </w:tc>
              <w:tc>
                <w:tcPr>
                  <w:tcW w:type="dxa" w:w="2088"/>
                </w:tcPr>
                <w:p>
                  <w:pPr>
                    <w:spacing w:after="0"/>
                  </w:pPr>
                  <w:r>
                    <w:rPr>
                      <w:sz w:val="15"/>
                    </w:rPr>
                    <w:t>Vantage IT v utility total</w:t>
                  </w:r>
                </w:p>
              </w:tc>
              <w:tc>
                <w:tcPr>
                  <w:tcW w:type="dxa" w:w="648"/>
                </w:tcPr>
                <w:p>
                  <w:pPr>
                    <w:spacing w:after="0"/>
                  </w:pPr>
                  <w:r>
                    <w:rPr>
                      <w:sz w:val="15"/>
                    </w:rPr>
                    <w:t>R; P</w:t>
                  </w:r>
                </w:p>
              </w:tc>
              <w:tc>
                <w:tcPr>
                  <w:tcW w:type="dxa" w:w="504"/>
                </w:tcPr>
                <w:p>
                  <w:pPr>
                    <w:spacing w:after="0"/>
                  </w:pPr>
                  <w:r>
                    <w:rPr>
                      <w:sz w:val="15"/>
                    </w:rPr>
                    <w:t>1, 4</w:t>
                  </w:r>
                </w:p>
              </w:tc>
            </w:tr>
            <w:tr>
              <w:tc>
                <w:tcPr>
                  <w:tcW w:type="dxa" w:w="1800"/>
                </w:tcPr>
                <w:p>
                  <w:pPr>
                    <w:spacing w:after="0"/>
                  </w:pPr>
                  <w:r>
                    <w:rPr>
                      <w:b/>
                      <w:sz w:val="15"/>
                    </w:rPr>
                    <w:t>Connected (grid / utility)</w:t>
                  </w:r>
                </w:p>
              </w:tc>
              <w:tc>
                <w:tcPr>
                  <w:tcW w:type="dxa" w:w="2304"/>
                </w:tcPr>
                <w:p>
                  <w:pPr>
                    <w:spacing w:after="0"/>
                  </w:pPr>
                  <w:r>
                    <w:rPr>
                      <w:sz w:val="15"/>
                    </w:rPr>
                    <w:t>0</w:t>
                  </w:r>
                </w:p>
              </w:tc>
              <w:tc>
                <w:tcPr>
                  <w:tcW w:type="dxa" w:w="2088"/>
                </w:tcPr>
                <w:p>
                  <w:pPr>
                    <w:spacing w:after="0"/>
                  </w:pPr>
                  <w:r>
                    <w:rPr>
                      <w:sz w:val="15"/>
                    </w:rPr>
                    <w:t>~310 requested for 2027; 438 peak 2027</w:t>
                  </w:r>
                </w:p>
              </w:tc>
              <w:tc>
                <w:tcPr>
                  <w:tcW w:type="dxa" w:w="648"/>
                </w:tcPr>
                <w:p>
                  <w:pPr>
                    <w:spacing w:after="0"/>
                  </w:pPr>
                  <w:r>
                    <w:rPr>
                      <w:sz w:val="15"/>
                    </w:rPr>
                    <w:t>P</w:t>
                  </w:r>
                </w:p>
              </w:tc>
              <w:tc>
                <w:tcPr>
                  <w:tcW w:type="dxa" w:w="504"/>
                </w:tcPr>
                <w:p>
                  <w:pPr>
                    <w:spacing w:after="0"/>
                  </w:pPr>
                  <w:r>
                    <w:rPr>
                      <w:sz w:val="15"/>
                    </w:rPr>
                    <w:t>4</w:t>
                  </w:r>
                </w:p>
              </w:tc>
            </w:tr>
            <w:tr>
              <w:tc>
                <w:tcPr>
                  <w:tcW w:type="dxa" w:w="1800"/>
                </w:tcPr>
                <w:p>
                  <w:pPr>
                    <w:spacing w:after="0"/>
                  </w:pPr>
                  <w:r>
                    <w:rPr>
                      <w:b/>
                      <w:sz w:val="15"/>
                    </w:rPr>
                    <w:t>Connected (halls)</w:t>
                  </w:r>
                </w:p>
              </w:tc>
              <w:tc>
                <w:tcPr>
                  <w:tcW w:type="dxa" w:w="2304"/>
                </w:tcPr>
                <w:p>
                  <w:pPr>
                    <w:spacing w:after="0"/>
                  </w:pPr>
                  <w:r>
                    <w:rPr>
                      <w:sz w:val="15"/>
                    </w:rPr>
                    <w:t>0</w:t>
                  </w:r>
                </w:p>
              </w:tc>
              <w:tc>
                <w:tcPr>
                  <w:tcW w:type="dxa" w:w="2088"/>
                </w:tcPr>
                <w:p>
                  <w:pPr>
                    <w:spacing w:after="0"/>
                  </w:pPr>
                  <w:r>
                    <w:rPr>
                      <w:sz w:val="15"/>
                    </w:rPr>
                    <w:t>20–25% complete; 2 of 4 halls enclosed</w:t>
                  </w:r>
                </w:p>
              </w:tc>
              <w:tc>
                <w:tcPr>
                  <w:tcW w:type="dxa" w:w="648"/>
                </w:tcPr>
                <w:p>
                  <w:pPr>
                    <w:spacing w:after="0"/>
                  </w:pPr>
                  <w:r>
                    <w:rPr>
                      <w:sz w:val="15"/>
                    </w:rPr>
                    <w:t>R; P</w:t>
                  </w:r>
                </w:p>
              </w:tc>
              <w:tc>
                <w:tcPr>
                  <w:tcW w:type="dxa" w:w="504"/>
                </w:tcPr>
                <w:p>
                  <w:pPr>
                    <w:spacing w:after="0"/>
                  </w:pPr>
                  <w:r>
                    <w:rPr>
                      <w:sz w:val="15"/>
                    </w:rPr>
                    <w:t>2, 5</w:t>
                  </w:r>
                </w:p>
              </w:tc>
            </w:tr>
            <w:tr>
              <w:tc>
                <w:tcPr>
                  <w:tcW w:type="dxa" w:w="1800"/>
                </w:tcPr>
                <w:p>
                  <w:pPr>
                    <w:spacing w:after="0"/>
                  </w:pPr>
                  <w:r>
                    <w:rPr>
                      <w:b/>
                      <w:sz w:val="15"/>
                    </w:rPr>
                    <w:t>Active</w:t>
                  </w:r>
                </w:p>
              </w:tc>
              <w:tc>
                <w:tcPr>
                  <w:tcW w:type="dxa" w:w="2304"/>
                </w:tcPr>
                <w:p>
                  <w:pPr>
                    <w:spacing w:after="0"/>
                  </w:pPr>
                  <w:r>
                    <w:rPr>
                      <w:sz w:val="15"/>
                    </w:rPr>
                    <w:t>0</w:t>
                  </w:r>
                </w:p>
              </w:tc>
              <w:tc>
                <w:tcPr>
                  <w:tcW w:type="dxa" w:w="2088"/>
                </w:tcPr>
                <w:p>
                  <w:pPr>
                    <w:spacing w:after="0"/>
                  </w:pPr>
                  <w:r>
                    <w:rPr>
                      <w:sz w:val="15"/>
                    </w:rPr>
                    <w:t>IT</w:t>
                  </w:r>
                </w:p>
              </w:tc>
              <w:tc>
                <w:tcPr>
                  <w:tcW w:type="dxa" w:w="648"/>
                </w:tcPr>
                <w:p>
                  <w:pPr>
                    <w:spacing w:after="0"/>
                  </w:pPr>
                  <w:r>
                    <w:rPr>
                      <w:sz w:val="15"/>
                    </w:rPr>
                    <w:t>R</w:t>
                  </w:r>
                </w:p>
              </w:tc>
              <w:tc>
                <w:tcPr>
                  <w:tcW w:type="dxa" w:w="504"/>
                </w:tcPr>
                <w:p>
                  <w:pPr>
                    <w:spacing w:after="0"/>
                  </w:pPr>
                  <w:r>
                    <w:rPr>
                      <w:sz w:val="15"/>
                    </w:rPr>
                    <w:t>6</w:t>
                  </w:r>
                </w:p>
              </w:tc>
            </w:tr>
            <w:tr>
              <w:tc>
                <w:tcPr>
                  <w:tcW w:type="dxa" w:w="1800"/>
                </w:tcPr>
                <w:p>
                  <w:pPr>
                    <w:spacing w:after="0"/>
                  </w:pPr>
                  <w:r>
                    <w:rPr>
                      <w:b/>
                      <w:sz w:val="15"/>
                    </w:rPr>
                    <w:t>Billed</w:t>
                  </w:r>
                </w:p>
              </w:tc>
              <w:tc>
                <w:tcPr>
                  <w:tcW w:type="dxa" w:w="2304"/>
                </w:tcPr>
                <w:p>
                  <w:pPr>
                    <w:spacing w:after="0"/>
                  </w:pPr>
                  <w:r>
                    <w:rPr>
                      <w:sz w:val="15"/>
                    </w:rPr>
                    <w:t>0</w:t>
                  </w:r>
                </w:p>
              </w:tc>
              <w:tc>
                <w:tcPr>
                  <w:tcW w:type="dxa" w:w="2088"/>
                </w:tcPr>
                <w:p>
                  <w:pPr>
                    <w:spacing w:after="0"/>
                  </w:pPr>
                  <w:r>
                    <w:rPr>
                      <w:sz w:val="15"/>
                    </w:rPr>
                    <w:t>IT</w:t>
                  </w:r>
                </w:p>
              </w:tc>
              <w:tc>
                <w:tcPr>
                  <w:tcW w:type="dxa" w:w="648"/>
                </w:tcPr>
                <w:p>
                  <w:pPr>
                    <w:spacing w:after="0"/>
                  </w:pPr>
                  <w:r>
                    <w:rPr>
                      <w:sz w:val="15"/>
                    </w:rPr>
                    <w:t>R</w:t>
                  </w:r>
                </w:p>
              </w:tc>
              <w:tc>
                <w:tcPr>
                  <w:tcW w:type="dxa" w:w="504"/>
                </w:tcPr>
                <w:p>
                  <w:pPr>
                    <w:spacing w:after="0"/>
                  </w:pPr>
                  <w:r>
                    <w:rPr>
                      <w:sz w:val="15"/>
                    </w:rPr>
                    <w:t>6</w:t>
                  </w:r>
                </w:p>
              </w:tc>
            </w:tr>
            <w:tr>
              <w:tc>
                <w:tcPr>
                  <w:tcW w:type="dxa" w:w="1800"/>
                </w:tcPr>
                <w:p>
                  <w:pPr>
                    <w:spacing w:after="0"/>
                  </w:pPr>
                  <w:r>
                    <w:rPr>
                      <w:b/>
                      <w:sz w:val="15"/>
                    </w:rPr>
                    <w:t>YE26 / YE27 L / B / H</w:t>
                  </w:r>
                </w:p>
              </w:tc>
              <w:tc>
                <w:tcPr>
                  <w:tcW w:type="dxa" w:w="2304"/>
                </w:tcPr>
                <w:p>
                  <w:pPr>
                    <w:spacing w:after="0"/>
                  </w:pPr>
                  <w:r>
                    <w:rPr>
                      <w:sz w:val="15"/>
                    </w:rPr>
                    <w:t>0 / 0 / 0; YE27 0 / ~310 / 438</w:t>
                  </w:r>
                </w:p>
              </w:tc>
              <w:tc>
                <w:tcPr>
                  <w:tcW w:type="dxa" w:w="2088"/>
                </w:tcPr>
                <w:p>
                  <w:pPr>
                    <w:spacing w:after="0"/>
                  </w:pPr>
                  <w:r>
                    <w:rPr>
                      <w:sz w:val="15"/>
                    </w:rPr>
                    <w:t>YE27 = grid MW</w:t>
                  </w:r>
                </w:p>
              </w:tc>
              <w:tc>
                <w:tcPr>
                  <w:tcW w:type="dxa" w:w="648"/>
                </w:tcPr>
                <w:p>
                  <w:pPr>
                    <w:spacing w:after="0"/>
                  </w:pPr>
                  <w:r>
                    <w:rPr>
                      <w:sz w:val="15"/>
                    </w:rPr>
                    <w:t>E</w:t>
                  </w:r>
                </w:p>
              </w:tc>
              <w:tc>
                <w:tcPr>
                  <w:tcW w:type="dxa" w:w="504"/>
                </w:tcPr>
                <w:p>
                  <w:pPr>
                    <w:spacing w:after="0"/>
                  </w:pPr>
                  <w:r>
                    <w:rPr>
                      <w:sz w:val="15"/>
                    </w:rPr>
                    <w:t>4, 5</w:t>
                  </w:r>
                </w:p>
              </w:tc>
            </w:tr>
          </w:tbl>
          <w:p>
            <w:pPr>
              <w:spacing w:before="0" w:after="0" w:lineRule="exact" w:line="40"/>
            </w:pPr>
          </w:p>
          <w:p>
            <w:pPr>
              <w:spacing w:after="20" w:before="20"/>
            </w:pPr>
            <w:r>
              <w:rPr>
                <w:b w:val="0"/>
                <w:sz w:val="15"/>
              </w:rPr>
              <w:t>Oracle (Sep 10): 'neither Shackleford nor New Mexico or Wisconsin or Michigan were delivered in Q1' [6]. Utility filings (via press) show Vantage asked ATC for ~310 MW in 2027 and 1.3 GW from 2028 [4].</w:t>
            </w:r>
          </w:p>
          <w:p>
            <w:pPr>
              <w:spacing w:before="20"/>
            </w:pPr>
            <w:r>
              <w:drawing>
                <wp:inline xmlns:a="http://schemas.openxmlformats.org/drawingml/2006/main" xmlns:pic="http://schemas.openxmlformats.org/drawingml/2006/picture">
                  <wp:extent cx="4114800" cy="1565413"/>
                  <wp:docPr id="1" name="Picture 1"/>
                  <wp:cNvGraphicFramePr>
                    <a:graphicFrameLocks noChangeAspect="1"/>
                  </wp:cNvGraphicFramePr>
                  <a:graphic>
                    <a:graphicData uri="http://schemas.openxmlformats.org/drawingml/2006/picture">
                      <pic:pic>
                        <pic:nvPicPr>
                          <pic:cNvPr id="0" name="oracle_port_washington_mw.png"/>
                          <pic:cNvPicPr/>
                        </pic:nvPicPr>
                        <pic:blipFill>
                          <a:blip r:embed="rId9"/>
                          <a:stretch>
                            <a:fillRect/>
                          </a:stretch>
                        </pic:blipFill>
                        <pic:spPr>
                          <a:xfrm>
                            <a:off x="0" y="0"/>
                            <a:ext cx="4114800" cy="1565413"/>
                          </a:xfrm>
                          <a:prstGeom prst="rect"/>
                        </pic:spPr>
                      </pic:pic>
                    </a:graphicData>
                  </a:graphic>
                </wp:inline>
              </w:drawing>
            </w:r>
          </w:p>
        </w:tc>
        <w:tc>
          <w:tcPr>
            <w:tcW w:type="dxa" w:w="7488"/>
          </w:tcPr>
          <w:p>
            <w:pPr>
              <w:spacing w:after="20" w:before="0"/>
            </w:pPr>
            <w:r>
              <w:rPr>
                <w:b/>
                <w:sz w:val="17"/>
              </w:rPr>
              <w:t>3. Power and interconnection</w:t>
            </w:r>
          </w:p>
          <w:tbl>
            <w:tblPr>
              <w:tblStyle w:val="TableGrid"/>
              <w:tblW w:type="dxa" w:w="7343"/>
              <w:tblLayout w:type="fixed"/>
              <w:tblLook w:firstColumn="1" w:firstRow="1" w:lastColumn="0" w:lastRow="0" w:noHBand="0" w:noVBand="1" w:val="04A0"/>
              <w:tblCellMar>
                <w:left w:w="35" w:type="dxa"/>
                <w:right w:w="35" w:type="dxa"/>
                <w:top w:w="0" w:type="dxa"/>
                <w:bottom w:w="0" w:type="dxa"/>
              </w:tblCellMar>
              <w:tblLayout w:type="fixed"/>
            </w:tblPr>
            <w:tblGrid>
              <w:gridCol w:w="1512"/>
              <w:gridCol w:w="4752"/>
              <w:gridCol w:w="604"/>
              <w:gridCol w:w="475"/>
            </w:tblGrid>
            <w:tr>
              <w:tc>
                <w:tcPr>
                  <w:tcW w:type="dxa" w:w="1512"/>
                  <w:shd w:val="clear" w:color="auto" w:fill="D9E2F3"/>
                </w:tcPr>
                <w:p>
                  <w:pPr>
                    <w:spacing w:after="0"/>
                  </w:pPr>
                  <w:r>
                    <w:rPr>
                      <w:b/>
                      <w:sz w:val="15"/>
                    </w:rPr>
                    <w:t>Item</w:t>
                  </w:r>
                </w:p>
              </w:tc>
              <w:tc>
                <w:tcPr>
                  <w:tcW w:type="dxa" w:w="4752"/>
                  <w:shd w:val="clear" w:color="auto" w:fill="D9E2F3"/>
                </w:tcPr>
                <w:p>
                  <w:pPr>
                    <w:spacing w:after="0"/>
                  </w:pPr>
                  <w:r>
                    <w:rPr>
                      <w:b/>
                      <w:sz w:val="15"/>
                    </w:rPr>
                    <w:t>Status</w:t>
                  </w:r>
                </w:p>
              </w:tc>
              <w:tc>
                <w:tcPr>
                  <w:tcW w:type="dxa" w:w="605"/>
                  <w:shd w:val="clear" w:color="auto" w:fill="D9E2F3"/>
                </w:tcPr>
                <w:p>
                  <w:pPr>
                    <w:spacing w:after="0"/>
                  </w:pPr>
                  <w:r>
                    <w:rPr>
                      <w:b/>
                      <w:sz w:val="15"/>
                    </w:rPr>
                    <w:t>Tag</w:t>
                  </w:r>
                </w:p>
              </w:tc>
              <w:tc>
                <w:tcPr>
                  <w:tcW w:type="dxa" w:w="475"/>
                  <w:shd w:val="clear" w:color="auto" w:fill="D9E2F3"/>
                </w:tcPr>
                <w:p>
                  <w:pPr>
                    <w:spacing w:after="0"/>
                  </w:pPr>
                  <w:r>
                    <w:rPr>
                      <w:b/>
                      <w:sz w:val="15"/>
                    </w:rPr>
                    <w:t>Src</w:t>
                  </w:r>
                </w:p>
              </w:tc>
            </w:tr>
            <w:tr>
              <w:tc>
                <w:tcPr>
                  <w:tcW w:type="dxa" w:w="1512"/>
                </w:tcPr>
                <w:p>
                  <w:pPr>
                    <w:spacing w:after="0"/>
                  </w:pPr>
                  <w:r>
                    <w:rPr>
                      <w:b/>
                      <w:sz w:val="15"/>
                    </w:rPr>
                    <w:t>Utility</w:t>
                  </w:r>
                </w:p>
              </w:tc>
              <w:tc>
                <w:tcPr>
                  <w:tcW w:type="dxa" w:w="4752"/>
                </w:tcPr>
                <w:p>
                  <w:pPr>
                    <w:spacing w:after="0"/>
                  </w:pPr>
                  <w:r>
                    <w:rPr>
                      <w:sz w:val="15"/>
                    </w:rPr>
                    <w:t>We Energies (very-large-customer tariff; PSC 6630-TE-113 collateral rules; Oracle dropped its court challenge Aug 17)</w:t>
                  </w:r>
                </w:p>
              </w:tc>
              <w:tc>
                <w:tcPr>
                  <w:tcW w:type="dxa" w:w="605"/>
                </w:tcPr>
                <w:p>
                  <w:pPr>
                    <w:spacing w:after="0"/>
                  </w:pPr>
                  <w:r>
                    <w:rPr>
                      <w:sz w:val="15"/>
                    </w:rPr>
                    <w:t>R; P</w:t>
                  </w:r>
                </w:p>
              </w:tc>
              <w:tc>
                <w:tcPr>
                  <w:tcW w:type="dxa" w:w="475"/>
                </w:tcPr>
                <w:p>
                  <w:pPr>
                    <w:spacing w:after="0"/>
                  </w:pPr>
                  <w:r>
                    <w:rPr>
                      <w:sz w:val="15"/>
                    </w:rPr>
                    <w:t>3, 7</w:t>
                  </w:r>
                </w:p>
              </w:tc>
            </w:tr>
            <w:tr>
              <w:tc>
                <w:tcPr>
                  <w:tcW w:type="dxa" w:w="1512"/>
                </w:tcPr>
                <w:p>
                  <w:pPr>
                    <w:spacing w:after="0"/>
                  </w:pPr>
                  <w:r>
                    <w:rPr>
                      <w:b/>
                      <w:sz w:val="15"/>
                    </w:rPr>
                    <w:t>Transmission</w:t>
                  </w:r>
                </w:p>
              </w:tc>
              <w:tc>
                <w:tcPr>
                  <w:tcW w:type="dxa" w:w="4752"/>
                </w:tcPr>
                <w:p>
                  <w:pPr>
                    <w:spacing w:after="0"/>
                  </w:pPr>
                  <w:r>
                    <w:rPr>
                      <w:sz w:val="15"/>
                    </w:rPr>
                    <w:t>ATC Ozaukee County project $1.39–1.67B, new Decker substation; construction Dec 2026 – Dec 2027</w:t>
                  </w:r>
                </w:p>
              </w:tc>
              <w:tc>
                <w:tcPr>
                  <w:tcW w:type="dxa" w:w="605"/>
                </w:tcPr>
                <w:p>
                  <w:pPr>
                    <w:spacing w:after="0"/>
                  </w:pPr>
                  <w:r>
                    <w:rPr>
                      <w:sz w:val="15"/>
                    </w:rPr>
                    <w:t>R</w:t>
                  </w:r>
                </w:p>
              </w:tc>
              <w:tc>
                <w:tcPr>
                  <w:tcW w:type="dxa" w:w="475"/>
                </w:tcPr>
                <w:p>
                  <w:pPr>
                    <w:spacing w:after="0"/>
                  </w:pPr>
                  <w:r>
                    <w:rPr>
                      <w:sz w:val="15"/>
                    </w:rPr>
                    <w:t>8</w:t>
                  </w:r>
                </w:p>
              </w:tc>
            </w:tr>
            <w:tr>
              <w:tc>
                <w:tcPr>
                  <w:tcW w:type="dxa" w:w="1512"/>
                </w:tcPr>
                <w:p>
                  <w:pPr>
                    <w:spacing w:after="0"/>
                  </w:pPr>
                  <w:r>
                    <w:rPr>
                      <w:b/>
                      <w:sz w:val="15"/>
                    </w:rPr>
                    <w:t>PSC status</w:t>
                  </w:r>
                </w:p>
              </w:tc>
              <w:tc>
                <w:tcPr>
                  <w:tcW w:type="dxa" w:w="4752"/>
                </w:tcPr>
                <w:p>
                  <w:pPr>
                    <w:spacing w:after="0"/>
                  </w:pPr>
                  <w:r>
                    <w:rPr>
                      <w:sz w:val="15"/>
                    </w:rPr>
                    <w:t>Completeness revoked Aug 2026; case closed Sep 10; ATC refiled (Sep 14 per Wisconsin Watch, Sep 18 per TechRadar); completeness decision expected ~Oct 19</w:t>
                  </w:r>
                </w:p>
              </w:tc>
              <w:tc>
                <w:tcPr>
                  <w:tcW w:type="dxa" w:w="605"/>
                </w:tcPr>
                <w:p>
                  <w:pPr>
                    <w:spacing w:after="0"/>
                  </w:pPr>
                  <w:r>
                    <w:rPr>
                      <w:sz w:val="15"/>
                    </w:rPr>
                    <w:t>P</w:t>
                  </w:r>
                </w:p>
              </w:tc>
              <w:tc>
                <w:tcPr>
                  <w:tcW w:type="dxa" w:w="475"/>
                </w:tcPr>
                <w:p>
                  <w:pPr>
                    <w:spacing w:after="0"/>
                  </w:pPr>
                  <w:r>
                    <w:rPr>
                      <w:sz w:val="15"/>
                    </w:rPr>
                    <w:t>4, 5, 9</w:t>
                  </w:r>
                </w:p>
              </w:tc>
            </w:tr>
            <w:tr>
              <w:tc>
                <w:tcPr>
                  <w:tcW w:type="dxa" w:w="1512"/>
                </w:tcPr>
                <w:p>
                  <w:pPr>
                    <w:spacing w:after="0"/>
                  </w:pPr>
                  <w:r>
                    <w:rPr>
                      <w:b/>
                      <w:sz w:val="15"/>
                    </w:rPr>
                    <w:t>Aterio timing</w:t>
                  </w:r>
                </w:p>
              </w:tc>
              <w:tc>
                <w:tcPr>
                  <w:tcW w:type="dxa" w:w="4752"/>
                </w:tcPr>
                <w:p>
                  <w:pPr>
                    <w:spacing w:after="0"/>
                  </w:pPr>
                  <w:r>
                    <w:rPr>
                      <w:sz w:val="15"/>
                    </w:rPr>
                    <w:t>Partial power Oct 2027 earliest / Dec 2027 base / Jun 2028 extended; full 1.3 GW Aug 2028 / Oct 2028 / Apr 2029</w:t>
                  </w:r>
                </w:p>
              </w:tc>
              <w:tc>
                <w:tcPr>
                  <w:tcW w:type="dxa" w:w="605"/>
                </w:tcPr>
                <w:p>
                  <w:pPr>
                    <w:spacing w:after="0"/>
                  </w:pPr>
                  <w:r>
                    <w:rPr>
                      <w:sz w:val="15"/>
                    </w:rPr>
                    <w:t>P</w:t>
                  </w:r>
                </w:p>
              </w:tc>
              <w:tc>
                <w:tcPr>
                  <w:tcW w:type="dxa" w:w="475"/>
                </w:tcPr>
                <w:p>
                  <w:pPr>
                    <w:spacing w:after="0"/>
                  </w:pPr>
                  <w:r>
                    <w:rPr>
                      <w:sz w:val="15"/>
                    </w:rPr>
                    <w:t>5</w:t>
                  </w:r>
                </w:p>
              </w:tc>
            </w:tr>
            <w:tr>
              <w:tc>
                <w:tcPr>
                  <w:tcW w:type="dxa" w:w="1512"/>
                </w:tcPr>
                <w:p>
                  <w:pPr>
                    <w:spacing w:after="0"/>
                  </w:pPr>
                  <w:r>
                    <w:rPr>
                      <w:b/>
                      <w:sz w:val="15"/>
                    </w:rPr>
                    <w:t>On-site generation</w:t>
                  </w:r>
                </w:p>
              </w:tc>
              <w:tc>
                <w:tcPr>
                  <w:tcW w:type="dxa" w:w="4752"/>
                </w:tcPr>
                <w:p>
                  <w:pPr>
                    <w:spacing w:after="0"/>
                  </w:pPr>
                  <w:r>
                    <w:rPr>
                      <w:sz w:val="15"/>
                    </w:rPr>
                    <w:t>Up to 45 emergency diesel engines, 87 MW: backup only</w:t>
                  </w:r>
                </w:p>
              </w:tc>
              <w:tc>
                <w:tcPr>
                  <w:tcW w:type="dxa" w:w="605"/>
                </w:tcPr>
                <w:p>
                  <w:pPr>
                    <w:spacing w:after="0"/>
                  </w:pPr>
                  <w:r>
                    <w:rPr>
                      <w:sz w:val="15"/>
                    </w:rPr>
                    <w:t>R</w:t>
                  </w:r>
                </w:p>
              </w:tc>
              <w:tc>
                <w:tcPr>
                  <w:tcW w:type="dxa" w:w="475"/>
                </w:tcPr>
                <w:p>
                  <w:pPr>
                    <w:spacing w:after="0"/>
                  </w:pPr>
                  <w:r>
                    <w:rPr>
                      <w:sz w:val="15"/>
                    </w:rPr>
                    <w:t>10</w:t>
                  </w:r>
                </w:p>
              </w:tc>
            </w:tr>
          </w:tbl>
          <w:p>
            <w:pPr>
              <w:spacing w:before="0" w:after="0" w:lineRule="exact" w:line="40"/>
            </w:pPr>
          </w:p>
          <w:p>
            <w:pPr>
              <w:spacing w:after="20" w:before="50"/>
            </w:pPr>
            <w:r>
              <w:rPr>
                <w:b/>
                <w:sz w:val="17"/>
              </w:rPr>
              <w:t>4. Permits (TCEQ / state / local)</w:t>
            </w:r>
          </w:p>
          <w:tbl>
            <w:tblPr>
              <w:tblStyle w:val="TableGrid"/>
              <w:tblW w:type="dxa" w:w="7343"/>
              <w:tblLayout w:type="fixed"/>
              <w:tblLook w:firstColumn="1" w:firstRow="1" w:lastColumn="0" w:lastRow="0" w:noHBand="0" w:noVBand="1" w:val="04A0"/>
              <w:tblCellMar>
                <w:left w:w="35" w:type="dxa"/>
                <w:right w:w="35" w:type="dxa"/>
                <w:top w:w="0" w:type="dxa"/>
                <w:bottom w:w="0" w:type="dxa"/>
              </w:tblCellMar>
              <w:tblLayout w:type="fixed"/>
            </w:tblPr>
            <w:tblGrid>
              <w:gridCol w:w="1800"/>
              <w:gridCol w:w="4464"/>
              <w:gridCol w:w="604"/>
              <w:gridCol w:w="475"/>
            </w:tblGrid>
            <w:tr>
              <w:tc>
                <w:tcPr>
                  <w:tcW w:type="dxa" w:w="1800"/>
                  <w:shd w:val="clear" w:color="auto" w:fill="D9E2F3"/>
                </w:tcPr>
                <w:p>
                  <w:pPr>
                    <w:spacing w:after="0"/>
                  </w:pPr>
                  <w:r>
                    <w:rPr>
                      <w:b/>
                      <w:sz w:val="15"/>
                    </w:rPr>
                    <w:t>Permit</w:t>
                  </w:r>
                </w:p>
              </w:tc>
              <w:tc>
                <w:tcPr>
                  <w:tcW w:type="dxa" w:w="4464"/>
                  <w:shd w:val="clear" w:color="auto" w:fill="D9E2F3"/>
                </w:tcPr>
                <w:p>
                  <w:pPr>
                    <w:spacing w:after="0"/>
                  </w:pPr>
                  <w:r>
                    <w:rPr>
                      <w:b/>
                      <w:sz w:val="15"/>
                    </w:rPr>
                    <w:t>Status / dates</w:t>
                  </w:r>
                </w:p>
              </w:tc>
              <w:tc>
                <w:tcPr>
                  <w:tcW w:type="dxa" w:w="605"/>
                  <w:shd w:val="clear" w:color="auto" w:fill="D9E2F3"/>
                </w:tcPr>
                <w:p>
                  <w:pPr>
                    <w:spacing w:after="0"/>
                  </w:pPr>
                  <w:r>
                    <w:rPr>
                      <w:b/>
                      <w:sz w:val="15"/>
                    </w:rPr>
                    <w:t>Tag</w:t>
                  </w:r>
                </w:p>
              </w:tc>
              <w:tc>
                <w:tcPr>
                  <w:tcW w:type="dxa" w:w="475"/>
                  <w:shd w:val="clear" w:color="auto" w:fill="D9E2F3"/>
                </w:tcPr>
                <w:p>
                  <w:pPr>
                    <w:spacing w:after="0"/>
                  </w:pPr>
                  <w:r>
                    <w:rPr>
                      <w:b/>
                      <w:sz w:val="15"/>
                    </w:rPr>
                    <w:t>Src</w:t>
                  </w:r>
                </w:p>
              </w:tc>
            </w:tr>
            <w:tr>
              <w:tc>
                <w:tcPr>
                  <w:tcW w:type="dxa" w:w="1800"/>
                </w:tcPr>
                <w:p>
                  <w:pPr>
                    <w:spacing w:after="0"/>
                  </w:pPr>
                  <w:r>
                    <w:rPr>
                      <w:b/>
                      <w:sz w:val="15"/>
                    </w:rPr>
                    <w:t>WDNR air</w:t>
                  </w:r>
                </w:p>
              </w:tc>
              <w:tc>
                <w:tcPr>
                  <w:tcW w:type="dxa" w:w="4464"/>
                </w:tcPr>
                <w:p>
                  <w:pPr>
                    <w:spacing w:after="0"/>
                  </w:pPr>
                  <w:r>
                    <w:rPr>
                      <w:sz w:val="15"/>
                    </w:rPr>
                    <w:t>Construction 25-MIN-094 + operation 24618528A-F01, final 2026-06-12</w:t>
                  </w:r>
                </w:p>
              </w:tc>
              <w:tc>
                <w:tcPr>
                  <w:tcW w:type="dxa" w:w="605"/>
                </w:tcPr>
                <w:p>
                  <w:pPr>
                    <w:spacing w:after="0"/>
                  </w:pPr>
                  <w:r>
                    <w:rPr>
                      <w:sz w:val="15"/>
                    </w:rPr>
                    <w:t>R</w:t>
                  </w:r>
                </w:p>
              </w:tc>
              <w:tc>
                <w:tcPr>
                  <w:tcW w:type="dxa" w:w="475"/>
                </w:tcPr>
                <w:p>
                  <w:pPr>
                    <w:spacing w:after="0"/>
                  </w:pPr>
                  <w:r>
                    <w:rPr>
                      <w:sz w:val="15"/>
                    </w:rPr>
                    <w:t>10</w:t>
                  </w:r>
                </w:p>
              </w:tc>
            </w:tr>
            <w:tr>
              <w:tc>
                <w:tcPr>
                  <w:tcW w:type="dxa" w:w="1800"/>
                </w:tcPr>
                <w:p>
                  <w:pPr>
                    <w:spacing w:after="0"/>
                  </w:pPr>
                  <w:r>
                    <w:rPr>
                      <w:b/>
                      <w:sz w:val="15"/>
                    </w:rPr>
                    <w:t>PSC (ATC line)</w:t>
                  </w:r>
                </w:p>
              </w:tc>
              <w:tc>
                <w:tcPr>
                  <w:tcW w:type="dxa" w:w="4464"/>
                </w:tcPr>
                <w:p>
                  <w:pPr>
                    <w:spacing w:after="0"/>
                  </w:pPr>
                  <w:r>
                    <w:rPr>
                      <w:sz w:val="15"/>
                    </w:rPr>
                    <w:t>Refiled; completeness pending (~Oct 19)</w:t>
                  </w:r>
                </w:p>
              </w:tc>
              <w:tc>
                <w:tcPr>
                  <w:tcW w:type="dxa" w:w="605"/>
                </w:tcPr>
                <w:p>
                  <w:pPr>
                    <w:spacing w:after="0"/>
                  </w:pPr>
                  <w:r>
                    <w:rPr>
                      <w:sz w:val="15"/>
                    </w:rPr>
                    <w:t>R; P</w:t>
                  </w:r>
                </w:p>
              </w:tc>
              <w:tc>
                <w:tcPr>
                  <w:tcW w:type="dxa" w:w="475"/>
                </w:tcPr>
                <w:p>
                  <w:pPr>
                    <w:spacing w:after="0"/>
                  </w:pPr>
                  <w:r>
                    <w:rPr>
                      <w:sz w:val="15"/>
                    </w:rPr>
                    <w:t>8, 9</w:t>
                  </w:r>
                </w:p>
              </w:tc>
            </w:tr>
            <w:tr>
              <w:tc>
                <w:tcPr>
                  <w:tcW w:type="dxa" w:w="1800"/>
                </w:tcPr>
                <w:p>
                  <w:pPr>
                    <w:spacing w:after="0"/>
                  </w:pPr>
                  <w:r>
                    <w:rPr>
                      <w:b/>
                      <w:sz w:val="15"/>
                    </w:rPr>
                    <w:t>City</w:t>
                  </w:r>
                </w:p>
              </w:tc>
              <w:tc>
                <w:tcPr>
                  <w:tcW w:type="dxa" w:w="4464"/>
                </w:tcPr>
                <w:p>
                  <w:pPr>
                    <w:spacing w:after="0"/>
                  </w:pPr>
                  <w:r>
                    <w:rPr>
                      <w:sz w:val="15"/>
                    </w:rPr>
                    <w:t>TIF $458.6M</w:t>
                  </w:r>
                </w:p>
              </w:tc>
              <w:tc>
                <w:tcPr>
                  <w:tcW w:type="dxa" w:w="605"/>
                </w:tcPr>
                <w:p>
                  <w:pPr>
                    <w:spacing w:after="0"/>
                  </w:pPr>
                  <w:r>
                    <w:rPr>
                      <w:sz w:val="15"/>
                    </w:rPr>
                    <w:t>P</w:t>
                  </w:r>
                </w:p>
              </w:tc>
              <w:tc>
                <w:tcPr>
                  <w:tcW w:type="dxa" w:w="475"/>
                </w:tcPr>
                <w:p>
                  <w:pPr>
                    <w:spacing w:after="0"/>
                  </w:pPr>
                  <w:r>
                    <w:rPr>
                      <w:sz w:val="15"/>
                    </w:rPr>
                    <w:t>1</w:t>
                  </w:r>
                </w:p>
              </w:tc>
            </w:tr>
          </w:tbl>
          <w:p>
            <w:pPr>
              <w:spacing w:before="0" w:after="0" w:lineRule="exact" w:line="40"/>
            </w:pPr>
          </w:p>
          <w:p>
            <w:pPr>
              <w:spacing w:after="20" w:before="50"/>
            </w:pPr>
            <w:r>
              <w:rPr>
                <w:b/>
                <w:sz w:val="17"/>
              </w:rPr>
              <w:t>5. Imagery, construction evidence and contract economics</w:t>
            </w:r>
          </w:p>
          <w:tbl>
            <w:tblPr>
              <w:tblStyle w:val="TableGrid"/>
              <w:tblW w:type="dxa" w:w="7343"/>
              <w:tblLayout w:type="fixed"/>
              <w:tblLook w:firstColumn="1" w:firstRow="1" w:lastColumn="0" w:lastRow="0" w:noHBand="0" w:noVBand="1" w:val="04A0"/>
              <w:tblCellMar>
                <w:left w:w="35" w:type="dxa"/>
                <w:right w:w="35" w:type="dxa"/>
                <w:top w:w="0" w:type="dxa"/>
                <w:bottom w:w="0" w:type="dxa"/>
              </w:tblCellMar>
              <w:tblLayout w:type="fixed"/>
            </w:tblPr>
            <w:tblGrid>
              <w:gridCol w:w="1584"/>
              <w:gridCol w:w="4680"/>
              <w:gridCol w:w="604"/>
              <w:gridCol w:w="475"/>
            </w:tblGrid>
            <w:tr>
              <w:tc>
                <w:tcPr>
                  <w:tcW w:type="dxa" w:w="1584"/>
                  <w:shd w:val="clear" w:color="auto" w:fill="D9E2F3"/>
                </w:tcPr>
                <w:p>
                  <w:pPr>
                    <w:spacing w:after="0"/>
                  </w:pPr>
                  <w:r>
                    <w:rPr>
                      <w:b/>
                      <w:sz w:val="15"/>
                    </w:rPr>
                    <w:t>Check</w:t>
                  </w:r>
                </w:p>
              </w:tc>
              <w:tc>
                <w:tcPr>
                  <w:tcW w:type="dxa" w:w="4680"/>
                  <w:shd w:val="clear" w:color="auto" w:fill="D9E2F3"/>
                </w:tcPr>
                <w:p>
                  <w:pPr>
                    <w:spacing w:after="0"/>
                  </w:pPr>
                  <w:r>
                    <w:rPr>
                      <w:b/>
                      <w:sz w:val="15"/>
                    </w:rPr>
                    <w:t>Finding</w:t>
                  </w:r>
                </w:p>
              </w:tc>
              <w:tc>
                <w:tcPr>
                  <w:tcW w:type="dxa" w:w="605"/>
                  <w:shd w:val="clear" w:color="auto" w:fill="D9E2F3"/>
                </w:tcPr>
                <w:p>
                  <w:pPr>
                    <w:spacing w:after="0"/>
                  </w:pPr>
                  <w:r>
                    <w:rPr>
                      <w:b/>
                      <w:sz w:val="15"/>
                    </w:rPr>
                    <w:t>Tag</w:t>
                  </w:r>
                </w:p>
              </w:tc>
              <w:tc>
                <w:tcPr>
                  <w:tcW w:type="dxa" w:w="475"/>
                  <w:shd w:val="clear" w:color="auto" w:fill="D9E2F3"/>
                </w:tcPr>
                <w:p>
                  <w:pPr>
                    <w:spacing w:after="0"/>
                  </w:pPr>
                  <w:r>
                    <w:rPr>
                      <w:b/>
                      <w:sz w:val="15"/>
                    </w:rPr>
                    <w:t>Src</w:t>
                  </w:r>
                </w:p>
              </w:tc>
            </w:tr>
            <w:tr>
              <w:tc>
                <w:tcPr>
                  <w:tcW w:type="dxa" w:w="1584"/>
                </w:tcPr>
                <w:p>
                  <w:pPr>
                    <w:spacing w:after="0"/>
                  </w:pPr>
                  <w:r>
                    <w:rPr>
                      <w:b/>
                      <w:sz w:val="15"/>
                    </w:rPr>
                    <w:t>Sentinel-2 Oct 6 v Sep 11</w:t>
                  </w:r>
                </w:p>
              </w:tc>
              <w:tc>
                <w:tcPr>
                  <w:tcW w:type="dxa" w:w="4680"/>
                </w:tcPr>
                <w:p>
                  <w:pPr>
                    <w:spacing w:after="0"/>
                  </w:pPr>
                  <w:r>
                    <w:rPr>
                      <w:sz w:val="15"/>
                    </w:rPr>
                    <w:t>More roofs closed: white-roof 28.9 v 22.9 ha (+6 ha, same metric); still a construction site; no energized power plant visible at 10 m</w:t>
                  </w:r>
                </w:p>
              </w:tc>
              <w:tc>
                <w:tcPr>
                  <w:tcW w:type="dxa" w:w="605"/>
                </w:tcPr>
                <w:p>
                  <w:pPr>
                    <w:spacing w:after="0"/>
                  </w:pPr>
                  <w:r>
                    <w:rPr>
                      <w:sz w:val="15"/>
                    </w:rPr>
                    <w:t>D; read E</w:t>
                  </w:r>
                </w:p>
              </w:tc>
              <w:tc>
                <w:tcPr>
                  <w:tcW w:type="dxa" w:w="475"/>
                </w:tcPr>
                <w:p>
                  <w:pPr>
                    <w:spacing w:after="0"/>
                  </w:pPr>
                  <w:r>
                    <w:rPr>
                      <w:sz w:val="15"/>
                    </w:rPr>
                    <w:t>11</w:t>
                  </w:r>
                </w:p>
              </w:tc>
            </w:tr>
            <w:tr>
              <w:tc>
                <w:tcPr>
                  <w:tcW w:type="dxa" w:w="1584"/>
                </w:tcPr>
                <w:p>
                  <w:pPr>
                    <w:spacing w:after="0"/>
                  </w:pPr>
                  <w:r>
                    <w:rPr>
                      <w:b/>
                      <w:sz w:val="15"/>
                    </w:rPr>
                    <w:t>Press photos</w:t>
                  </w:r>
                </w:p>
              </w:tc>
              <w:tc>
                <w:tcPr>
                  <w:tcW w:type="dxa" w:w="4680"/>
                </w:tcPr>
                <w:p>
                  <w:pPr>
                    <w:spacing w:after="0"/>
                  </w:pPr>
                  <w:r>
                    <w:rPr>
                      <w:sz w:val="15"/>
                    </w:rPr>
                    <w:t>Ozaukee Press aerial 2026-09-21: first 555k sf building enclosed; Sep 18 tour; 2,800–3,000 workers/day</w:t>
                  </w:r>
                </w:p>
              </w:tc>
              <w:tc>
                <w:tcPr>
                  <w:tcW w:type="dxa" w:w="605"/>
                </w:tcPr>
                <w:p>
                  <w:pPr>
                    <w:spacing w:after="0"/>
                  </w:pPr>
                  <w:r>
                    <w:rPr>
                      <w:sz w:val="15"/>
                    </w:rPr>
                    <w:t>P</w:t>
                  </w:r>
                </w:p>
              </w:tc>
              <w:tc>
                <w:tcPr>
                  <w:tcW w:type="dxa" w:w="475"/>
                </w:tcPr>
                <w:p>
                  <w:pPr>
                    <w:spacing w:after="0"/>
                  </w:pPr>
                  <w:r>
                    <w:rPr>
                      <w:sz w:val="15"/>
                    </w:rPr>
                    <w:t>2</w:t>
                  </w:r>
                </w:p>
              </w:tc>
            </w:tr>
            <w:tr>
              <w:tc>
                <w:tcPr>
                  <w:tcW w:type="dxa" w:w="1584"/>
                </w:tcPr>
                <w:p>
                  <w:pPr>
                    <w:spacing w:after="0"/>
                  </w:pPr>
                  <w:r>
                    <w:rPr>
                      <w:b/>
                      <w:sz w:val="15"/>
                    </w:rPr>
                    <w:t>Contract economics</w:t>
                  </w:r>
                </w:p>
              </w:tc>
              <w:tc>
                <w:tcPr>
                  <w:tcW w:type="dxa" w:w="4680"/>
                </w:tcPr>
                <w:p>
                  <w:pPr>
                    <w:spacing w:after="0"/>
                  </w:pPr>
                  <w:r>
                    <w:rPr>
                      <w:sz w:val="15"/>
                    </w:rPr>
                    <w:t>Oracle–OpenAI ~$300B (WSJ) program-level, $13.3–16.0M per MW-yr; site lease n/d</w:t>
                  </w:r>
                </w:p>
              </w:tc>
              <w:tc>
                <w:tcPr>
                  <w:tcW w:type="dxa" w:w="605"/>
                </w:tcPr>
                <w:p>
                  <w:pPr>
                    <w:spacing w:after="0"/>
                  </w:pPr>
                  <w:r>
                    <w:rPr>
                      <w:sz w:val="15"/>
                    </w:rPr>
                    <w:t>P; D</w:t>
                  </w:r>
                </w:p>
              </w:tc>
              <w:tc>
                <w:tcPr>
                  <w:tcW w:type="dxa" w:w="475"/>
                </w:tcPr>
                <w:p>
                  <w:pPr>
                    <w:spacing w:after="0"/>
                  </w:pPr>
                  <w:r>
                    <w:rPr>
                      <w:sz w:val="15"/>
                    </w:rPr>
                    <w:t>12</w:t>
                  </w:r>
                </w:p>
              </w:tc>
            </w:tr>
          </w:tbl>
          <w:p>
            <w:pPr>
              <w:spacing w:before="0" w:after="0" w:lineRule="exact" w:line="40"/>
            </w:pPr>
          </w:p>
          <w:p>
            <w:pPr>
              <w:spacing w:after="0" w:before="50"/>
            </w:pPr>
            <w:r>
              <w:rPr>
                <w:b/>
                <w:sz w:val="15"/>
              </w:rPr>
              <w:t xml:space="preserve">What would change our view: </w:t>
            </w:r>
            <w:r>
              <w:rPr>
                <w:b w:val="0"/>
                <w:sz w:val="15"/>
              </w:rPr>
              <w:t>(1) PSC completeness decision ~Oct 19 (with ATC's MISO voltage-device filing): a clean finding keeps Aterio's base (partial power ~Dec 2027); another rejection moves to the extended case (Jun 2028) [5]. (2) Oracle FQ2 FY27 (~mid-Dec, E): any change to 'H2 2027' Wisconsin delivery [6]. (3) Watch for a temporary / bypass supply for the ~310 MW 2027 request; Vantage says portions go live while the rest is built [2, 4]. Biggest risk: grid, not construction: halls can be ready before power (connected 0 into late 2027).</w:t>
            </w:r>
          </w:p>
          <w:p>
            <w:pPr>
              <w:spacing w:after="0" w:before="30"/>
            </w:pPr>
            <w:r>
              <w:rPr>
                <w:b/>
                <w:sz w:val="15"/>
              </w:rPr>
              <w:t xml:space="preserve">What changed since Oct 5: </w:t>
            </w:r>
            <w:r>
              <w:rPr>
                <w:b w:val="0"/>
                <w:sz w:val="15"/>
              </w:rPr>
              <w:t>Since Oct 5: PSC completeness ~Oct 19 trigger, ATC refile-date conflict and the ~310 MW 2027 request added; Oracle confirms no Wisconsin delivery in FQ1; Oct 6 Sentinel-2 +6 ha roof.</w:t>
            </w:r>
          </w:p>
        </w:tc>
      </w:tr>
    </w:tbl>
    <w:p>
      <w:pPr>
        <w:spacing w:after="0" w:before="40"/>
      </w:pPr>
      <w:r>
        <w:rPr>
          <w:b/>
          <w:color w:val="404040"/>
          <w:sz w:val="12"/>
        </w:rPr>
        <w:t xml:space="preserve">Sources: </w:t>
      </w:r>
      <w:r>
        <w:rPr>
          <w:b w:val="0"/>
          <w:color w:val="404040"/>
          <w:sz w:val="12"/>
        </w:rPr>
        <w:t>[1] Ozaukee Press (2025-10-22) www.ozaukeepress.com/content/openai-oracle-run-stargate-port-data-center (acc. Oct 5) · [2] Ozaukee Press (2026-09-23) www.ozaukeepress.com/content/data-center-size-%E2%80%98-insane%E2%80%99 (acc. Oct 8) · [3] Data Center Census datacentercensus.com/dc/port-washington-lighthouse-wi (acc. Oct 8) · [4] TechRadar (2026-10-04) www.techradar.com/pro/a-meaningful-risk-oracles-massive-1-3-gw-wisconsin-ai-campus-faces-severe-power-delays-as-grid-review-restarts-pushing-customer-delivery-past-2027 (acc. Oct 8) · [5] Aterio (BusinessWire 2026-09-30) www.streetinsider.com/Business+Wire/Aterio+Flags+Delay+Risk+for+Oracle%E2%80%99s+1.3+GW+Wisconsin+Data+Center/27125698.html ; constructionreviewonline.com/project-lighthouse-delays-threaten-oracles-2027-wisconsin-data-center-launch/ (acc. Oct 8) · [6] Oracle FQ1 FY27 call (2026-09-10) www.fool.com/earnings/call-transcripts/2026/09/11/oracle-orcl-q1-2027-earnings-call-transcript/ (acc. Oct 8) · [7] PSC doc 593736 apps.psc.wi.gov/ERF/ERFview/viewdoc.aspx?docid=593736 (acc. Oct 5) · [8] PSC doc 597276 apps.psc.wi.gov/ERF/ERFview/viewdoc.aspx?docid=597276 (acc. Oct 5) · [9] Wisconsin Watch wisconsinwatch.org/2026/09/wisconsin-port-washington-data-center-atc-restarts-push-grid-upgrades-transmission-utility/ (acc. Oct 5) · [10] WDNR 25-MIN-094 final www.wpr.org/wp-content/uploads/2026/07/dnr.state_.wi_.us_Apps_AM_WARP_Documents_PROD_Final_63297.pdf ; sites/docs/wi_dnr_vantage_25-MIN-094_final.pdf (acc. Oct 5) · [11] Sentinel-2 L2A S2B_16TDP_20261006 (Earth Search); sites/imagery/portwash_wi/detail/portwash_wi_2026-10-06_crop_oct8.png · [12] peers/comparison.xlsx Contracts_$MWyr O2; team peers/sites/site_verification.md §6; sites.xlsx</w:t>
      </w:r>
    </w:p>
    <w:sectPr w:rsidR="00FC693F" w:rsidRPr="0006063C" w:rsidSect="00034616">
      <w:pgSz w:w="15840" w:h="12240" w:orient="landscape"/>
      <w:pgMar w:top="403" w:right="504" w:bottom="360" w:left="504" w:header="216" w:footer="21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Calibri" w:hAnsi="Calibri" w:eastAsia="Calibri"/>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