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NBIS Bear Case Outline (Red Team): ranked by impact</w:t>
      </w:r>
    </w:p>
    <w:p>
      <w:r>
        <w:rPr>
          <w:i/>
        </w:rPr>
        <w:t>Nebius Skeptic for Aadit Prayag · draft for Tue Oct 6, 2026 · prices as of close Fri Oct 2, 2026 · compiled Sun Oct 4, 2026 (ET)</w:t>
      </w:r>
    </w:p>
    <w:p>
      <w:r>
        <w:rPr>
          <w:sz w:val="17"/>
        </w:rPr>
        <w:t>Tags: R = Reported · D = Derived (math shown) · E = Estimated (method stated). Probabilities are Red Team judgment, not data. The $/share figures use base EV $69.62B, 287.66M pro forma shares and $242.81, as corrected in 01_priced_in on Oct 4.</w:t>
      </w:r>
    </w:p>
    <w:p>
      <w:pPr>
        <w:pStyle w:val="Heading1"/>
      </w:pPr>
      <w:r>
        <w:t>The hurdle (what's priced in)</w:t>
      </w:r>
    </w:p>
    <w:p>
      <w:pPr>
        <w:pStyle w:val="ListBullet"/>
      </w:pPr>
      <w:r>
        <w:t>Hurdle (D): EV $69.62B = 5.66x FY27 consensus revenue ($12.30B) and 10.35x FY27 adj. EBITDA ($6.73B). CoreWeave on the same ex-lease basis is 3.03x / 4.78x, so NBIS carries a +87% / +117% premium. At CRWV's EBITDA multiple, the stock would be ~$113/share (−54%).</w:t>
      </w:r>
    </w:p>
    <w:p>
      <w:pPr>
        <w:pStyle w:val="ListBullet"/>
      </w:pPr>
      <w:r>
        <w:t>Rule of thumb (D): at a constant 5.66x, each $1B of FY27 revenue is worth ~$5.7B of EV, or ~$19.7/share.</w:t>
      </w:r>
    </w:p>
    <w:p>
      <w:pPr>
        <w:pStyle w:val="ListBullet"/>
      </w:pPr>
      <w:r>
        <w:t>Reverse DCF (E; 03_depreciation.xlsx): the price requires a fleet-wide steady-state EBITDA yield of ~48% on gross GPU capital at a 5-yr life (~54% at 4-yr, ~44% at 6-yr). That is ~$19M of revenue per MW, sustained for the asset life. By comparison, FY28 consensus implies ~28% (about $11M/MW), the installed base runs at ~$12M/MW, and Q2 deals priced at $20–25M/MW.</w:t>
      </w:r>
    </w:p>
    <w:p>
      <w:pPr>
        <w:pStyle w:val="ListBullet"/>
      </w:pPr>
      <w:r>
        <w:t>Simple ROIC per MW (E: $30M/MW all-in, 79% GPU, 60.8% EBITDA margin = FY28 consensus, gross capital, 25.8% tax): at a 5-yr life, after-tax ROIC is 5.0% at $12M/MW, 9.5% at $15M and 17.1% at $20M. Breakeven against an 11% WACC is ~$16M/MW at 5 yrs (~$18M at 4 yrs, ~$15M at 6 yrs).</w:t>
      </w:r>
    </w:p>
    <w:p>
      <w:pPr>
        <w:pStyle w:val="Heading1"/>
      </w:pPr>
      <w:r>
        <w:t>Ranked legs</w:t>
      </w:r>
    </w:p>
    <w:p>
      <w:r>
        <w:t>Expected $/share = impact × probability (Red Team judgment). Legs 1, 2 and 5 share one equation (yield × life), so the figures are not additive.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Leg</w:t>
            </w:r>
          </w:p>
        </w:tc>
        <w:tc>
          <w:tcPr>
            <w:tcW w:type="dxa" w:w="2160"/>
          </w:tcPr>
          <w:p>
            <w:r>
              <w:t>Probability</w:t>
            </w:r>
          </w:p>
        </w:tc>
        <w:tc>
          <w:tcPr>
            <w:tcW w:type="dxa" w:w="2160"/>
          </w:tcPr>
          <w:p>
            <w:r>
              <w:t>Expected impact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Unit economics / ROIC per MW</w:t>
            </w:r>
          </w:p>
        </w:tc>
        <w:tc>
          <w:tcPr>
            <w:tcW w:type="dxa" w:w="2160"/>
          </w:tcPr>
          <w:p>
            <w:r>
              <w:t>35% that realized fleet-wide ACV/MW settles at ≤$16M over the asset life</w:t>
            </w:r>
          </w:p>
        </w:tc>
        <w:tc>
          <w:tcPr>
            <w:tcW w:type="dxa" w:w="2160"/>
          </w:tcPr>
          <w:p>
            <w:r>
              <w:t>≈ −$60/share (E). This overlaps with legs 2 and 5 (same yield × life equation), so the three are not additive.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GPU useful life / depreciation</w:t>
            </w:r>
          </w:p>
        </w:tc>
        <w:tc>
          <w:tcPr>
            <w:tcW w:type="dxa" w:w="2160"/>
          </w:tcPr>
          <w:p>
            <w:r>
              <w:t>35% that the market or auditor (Deloitte, FY26 first year) treats 4 yrs as the economic life</w:t>
            </w:r>
          </w:p>
        </w:tc>
        <w:tc>
          <w:tcPr>
            <w:tcW w:type="dxa" w:w="2160"/>
          </w:tcPr>
          <w:p>
            <w:r>
              <w:t>≈ −$33/share (E)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Site execution / slippage</w:t>
            </w:r>
          </w:p>
        </w:tc>
        <w:tc>
          <w:tcPr>
            <w:tcW w:type="dxa" w:w="2160"/>
          </w:tcPr>
          <w:p>
            <w:r>
              <w:t>25% low / 50% base / 25% high</w:t>
            </w:r>
          </w:p>
        </w:tc>
        <w:tc>
          <w:tcPr>
            <w:tcW w:type="dxa" w:w="2160"/>
          </w:tcPr>
          <w:p>
            <w:r>
              <w:t>≈ −$25/share (E)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Dilution / refinancing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≈ −$20/share (E: 70% × (−$20 FD − $8 discount))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GPU price deflation (counterpoint</w:t>
            </w:r>
          </w:p>
        </w:tc>
        <w:tc>
          <w:tcPr>
            <w:tcW w:type="dxa" w:w="2160"/>
          </w:tcPr>
          <w:p>
            <w:r>
              <w:t>30% (of a ≥10% realized cut by 2028)</w:t>
            </w:r>
          </w:p>
        </w:tc>
        <w:tc>
          <w:tcPr>
            <w:tcW w:type="dxa" w:w="2160"/>
          </w:tcPr>
          <w:p>
            <w:r>
              <w:t>≈ −$12/share (E); overlaps with leg 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Customer concentration / contract terms</w:t>
            </w:r>
          </w:p>
        </w:tc>
        <w:tc>
          <w:tcPr>
            <w:tcW w:type="dxa" w:w="2160"/>
          </w:tcPr>
          <w:p>
            <w:r>
              <w:t>20% that ≥1 tranche is at risk</w:t>
            </w:r>
          </w:p>
        </w:tc>
        <w:tc>
          <w:tcPr>
            <w:tcW w:type="dxa" w:w="2160"/>
          </w:tcPr>
          <w:p>
            <w:r>
              <w:t>≈ −$5/share (E)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Governance / controls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≈ −$2/share (E)</w:t>
            </w:r>
          </w:p>
        </w:tc>
      </w:tr>
    </w:tbl>
    <w:p>
      <w:pPr>
        <w:pStyle w:val="Heading1"/>
      </w:pPr>
      <w:r>
        <w:t>1. Unit economics / ROIC per MW: the price assumes Q2-deal pricing across the whole fleet for life</w:t>
      </w:r>
    </w:p>
    <w:p>
      <w:r>
        <w:rPr>
          <w:b/>
        </w:rPr>
        <w:t xml:space="preserve">Claim. </w:t>
      </w:r>
      <w:r>
        <w:t>The equity case needs ~$19M/MW sustained across all capacity. The proof points so far are new deals priced on forecast costs, some for capacity not yet built. The installed base earns ~$12M/MW. FY28 consensus already looks like ~$11M/MW on capital in service.</w:t>
      </w:r>
    </w:p>
    <w:p>
      <w:r>
        <w:rPr>
          <w:b/>
        </w:rPr>
        <w:t>Evidence.</w:t>
      </w:r>
    </w:p>
    <w:p>
      <w:pPr>
        <w:pStyle w:val="ListBullet"/>
      </w:pPr>
      <w:r>
        <w:t>ACV/MW: installed base ~$12M, Q2 deals $20–25M (avg &gt;$20M) priced on forecast costs incl. unbuilt capacity, Q3 short-term deals &gt;$40M (R, Q2 letter https://www.sec.gov/Archives/edgar/data/1513845/000110465926094568/tm2622968d1_ex99-2.htm; /workspace/nebius/filings/nebius_fact_base.md)</w:t>
      </w:r>
    </w:p>
    <w:p>
      <w:pPr>
        <w:pStyle w:val="ListBullet"/>
      </w:pPr>
      <w:r>
        <w:t>~70% of deals carry prepayments covering 50–60% of related capex (R, /workspace/nebius/filings/nebius_fact_base.md). That improves funding but not the yield on total capital.</w:t>
      </w:r>
    </w:p>
    <w:p>
      <w:pPr>
        <w:pStyle w:val="ListBullet"/>
      </w:pPr>
      <w:r>
        <w:t>FY28 consensus EBITDA $13.98B / avg FY28 gross GPU in service ~$50.6B = 27.6% yield (D, 03 model)</w:t>
      </w:r>
    </w:p>
    <w:p>
      <w:pPr>
        <w:pStyle w:val="ListBullet"/>
      </w:pPr>
      <w:r>
        <w:t>Payback '1y10m' claimed on Q2 deals (R, Q2 letter). That is consistent with ~50% yields on those deals only.</w:t>
      </w:r>
    </w:p>
    <w:p>
      <w:r>
        <w:rPr>
          <w:b/>
        </w:rPr>
        <w:t xml:space="preserve">Quantification. </w:t>
      </w:r>
      <w:r>
        <w:t>Reverse DCF (E): value/share at a 5-yr life is ~$7 at a 40% fleet yield (~$15.6M/MW), ~$141 at 45% and ~$274 at 50%. Settling at $15–16M/MW instead of ~$19M means roughly −$100 to −$235/share.</w:t>
      </w:r>
    </w:p>
    <w:p>
      <w:r>
        <w:rPr>
          <w:b/>
        </w:rPr>
        <w:t xml:space="preserve">Probability / expected. </w:t>
      </w:r>
      <w:r>
        <w:t>35% that realized fleet-wide ACV/MW settles at ≤$16M over the asset life → ≈ −$60/share (E). This overlaps with legs 2 and 5 (same yield × life equation), so the three are not additive.</w:t>
      </w:r>
    </w:p>
    <w:p>
      <w:r>
        <w:rPr>
          <w:b/>
        </w:rPr>
        <w:t xml:space="preserve">Bull counterpoint. </w:t>
      </w:r>
      <w:r>
        <w:t>Q3 short-term deals were &gt;$40M/MW and older-gen pricing rose &gt;30% QoQ. Prepayments lower the effective equity at risk. Contracted RPO is $37.5B.</w:t>
      </w:r>
    </w:p>
    <w:p>
      <w:r>
        <w:rPr>
          <w:b/>
        </w:rPr>
        <w:t xml:space="preserve">Watch. </w:t>
      </w:r>
      <w:r>
        <w:t>Q3 letter ACV/MW on new deals vs the installed base; revenue per active MW once active MW is disclosed again (CRWV ~$6.9–8.2M, IREN AI ~$7.1M per team comps).</w:t>
      </w:r>
    </w:p>
    <w:p>
      <w:pPr>
        <w:pStyle w:val="Heading1"/>
      </w:pPr>
      <w:r>
        <w:t>2. GPU useful life / depreciation: the 4→5-yr change flatters EBIT; economic life drives value</w:t>
      </w:r>
    </w:p>
    <w:p>
      <w:r>
        <w:rPr>
          <w:b/>
        </w:rPr>
        <w:t xml:space="preserve">Claim. </w:t>
      </w:r>
      <w:r>
        <w:t>On 1/1/26 Nebius moved server &amp; network equipment from 4 to 5 years, citing usage patterns and utilization commitments. Book life changes EBIT, not cash. But if the true economic life is 4 years, replacement capex is 25% higher than the 5-yr book implies.</w:t>
      </w:r>
    </w:p>
    <w:p>
      <w:r>
        <w:rPr>
          <w:b/>
        </w:rPr>
        <w:t>Evidence.</w:t>
      </w:r>
    </w:p>
    <w:p>
      <w:pPr>
        <w:pStyle w:val="ListBullet"/>
      </w:pPr>
      <w:r>
        <w:t>Change cut D&amp;A by $43.0M in Q2'26 and $86.1M in 1H26, ~$167.6M est. for FY26 on YE25 assets (R, company; /workspace/nebius/filings/nebius_fact_base.md)</w:t>
      </w:r>
    </w:p>
    <w:p>
      <w:pPr>
        <w:pStyle w:val="ListBullet"/>
      </w:pPr>
      <w:r>
        <w:t>20-F FY25: 'Our main assets, GPUs, are currently depreciated over four years' (R, https://www.sec.gov/Archives/edgar/data/1513845/000110465926052948/nbis-20251231x20f.htm p.56)</w:t>
      </w:r>
    </w:p>
    <w:p>
      <w:pPr>
        <w:pStyle w:val="ListBullet"/>
      </w:pPr>
      <w:r>
        <w:t>Material weakness: fixed-asset controls incl. depreciation start dates (R, 20-F FY25 p.25); remediation targeted by end-2026</w:t>
      </w:r>
    </w:p>
    <w:p>
      <w:pPr>
        <w:pStyle w:val="ListBullet"/>
      </w:pPr>
      <w:r>
        <w:t>Peers: CRWV 6 yrs, Alphabet/Oracle 6, MSFT 2–6, Meta 5–5.5. Amazon cut a subset 6→5 in 2025 citing AI pace (R via secondary; see 03 Peers sheet)</w:t>
      </w:r>
    </w:p>
    <w:p>
      <w:r>
        <w:rPr>
          <w:b/>
        </w:rPr>
        <w:t xml:space="preserve">Quantification. </w:t>
      </w:r>
      <w:r>
        <w:t>Reported (D, 03 model): FY27 EBIT is $1.98B at 5 yrs vs $0.82B at 4 yrs (−$1.16B ≈ −$4.0/share pre-tax), and FY28 is $3.50B vs $1.13B (−$2.36B ≈ −$8.2/share). At 4 yrs, consensus EBITDA produces EBIT of only ~$0–1.1B a year through 2030, before SBC ($102.5M in Q2) and interest ($119.1M in Q2). Value (E): at a 50% fleet yield, a 4-yr economic life is worth ~$93/share less than 5 yrs ($181 vs $274); a 6-yr life is worth ~$58 more.</w:t>
      </w:r>
    </w:p>
    <w:p>
      <w:r>
        <w:rPr>
          <w:b/>
        </w:rPr>
        <w:t xml:space="preserve">Probability / expected. </w:t>
      </w:r>
      <w:r>
        <w:t>35% that the market or auditor (Deloitte, FY26 first year) treats 4 yrs as the economic life → ≈ −$33/share (E)</w:t>
      </w:r>
    </w:p>
    <w:p>
      <w:r>
        <w:rPr>
          <w:b/>
        </w:rPr>
        <w:t xml:space="preserve">Bull counterpoint. </w:t>
      </w:r>
      <w:r>
        <w:t>Older-gen H100 pricing is rising (Q2 &gt;30% QoQ; Oct 1 list hike). Hopper still monetizes in year 3–4. CRWV and the hyperscalers use 6 yrs, so Nebius at 5 is mid-pack.</w:t>
      </w:r>
    </w:p>
    <w:p>
      <w:r>
        <w:rPr>
          <w:b/>
        </w:rPr>
        <w:t xml:space="preserve">Watch. </w:t>
      </w:r>
      <w:r>
        <w:t>Q3 6-K Note 1/7 (life, impairment, start-date controls); FY26 20-F with Deloitte opinion (~Apr 2027); any impairment on the Hopper base.</w:t>
      </w:r>
    </w:p>
    <w:p>
      <w:pPr>
        <w:pStyle w:val="Heading1"/>
      </w:pPr>
      <w:r>
        <w:t>3. Site execution / slippage: FY27 consensus needs ~1GW billing all year</w:t>
      </w:r>
    </w:p>
    <w:p>
      <w:r>
        <w:rPr>
          <w:b/>
        </w:rPr>
        <w:t xml:space="preserve">Claim. </w:t>
      </w:r>
      <w:r>
        <w:t>FY27 revenue of $12.3B needs essentially all YE26 connected power (0.8–1.0GW guide) billing all year plus 2027 adds. Capacity's per-site work gets only ~330/600/800 MW energized at YE26 (low/base/high).</w:t>
      </w:r>
    </w:p>
    <w:p>
      <w:r>
        <w:rPr>
          <w:b/>
        </w:rPr>
        <w:t>Evidence.</w:t>
      </w:r>
    </w:p>
    <w:p>
      <w:pPr>
        <w:pStyle w:val="ListBullet"/>
      </w:pPr>
      <w:r>
        <w:t>Guide: YE26 connected 800MW–1GW; &gt;1GW/yr deployments from 2027; active MW last disclosed ~170MW at YE25 (R, /workspace/nebius/filings/nebius_fact_base.md)</w:t>
      </w:r>
    </w:p>
    <w:p>
      <w:pPr>
        <w:pStyle w:val="ListBullet"/>
      </w:pPr>
      <w:r>
        <w:t>Capacity &amp; Power per-site YE26 energized: ~330 / ~600 / ~800 MW (E, team site_list). Vineland Bloom fuel-cell dependence; Birmingham timing discrepancy</w:t>
      </w:r>
    </w:p>
    <w:p>
      <w:pPr>
        <w:pStyle w:val="ListBullet"/>
      </w:pPr>
      <w:r>
        <w:t>Meta #2 ($12B firm, Vera Rubin) tranches begin early 2027 (R, https://www.sec.gov/Archives/edgar/data/1513845/000110465926027886/tm268879d1_ex99-1.htm)</w:t>
      </w:r>
    </w:p>
    <w:p>
      <w:r>
        <w:rPr>
          <w:b/>
        </w:rPr>
        <w:t xml:space="preserve">Quantification. </w:t>
      </w:r>
      <w:r>
        <w:t>FY27 revenue (E: 2027 billing MW = YE26 energized at $12M/MW + 2027 adds × 0.28 at $20M/MW, 3-month billing lag, linear adds). Base (600 + 700 MW adds) = $11.1B (−$1.2B, −$24/share). Low (330 + 500) = $6.8B (−$5.5B, −$109/share). High (800 + 1,000) = $15.2B (+$2.9B, +$57/share).</w:t>
      </w:r>
    </w:p>
    <w:p>
      <w:r>
        <w:rPr>
          <w:b/>
        </w:rPr>
        <w:t xml:space="preserve">Probability / expected. </w:t>
      </w:r>
      <w:r>
        <w:t>25% low / 50% base / 25% high → ≈ −$25/share (E)</w:t>
      </w:r>
    </w:p>
    <w:p>
      <w:r>
        <w:rPr>
          <w:b/>
        </w:rPr>
        <w:t xml:space="preserve">Bull counterpoint. </w:t>
      </w:r>
      <w:r>
        <w:t>Management has beaten capacity guidance before (contracted 3.5GW vs a 3GW goal). Short-term deals at &gt;$40M/MW monetize whatever comes online.</w:t>
      </w:r>
    </w:p>
    <w:p>
      <w:r>
        <w:rPr>
          <w:b/>
        </w:rPr>
        <w:t xml:space="preserve">Watch. </w:t>
      </w:r>
      <w:r>
        <w:t>Q3 letter connected/active MW; site energization events (Vineland, Béthune, Birmingham, Kansas City); Capacity's Tue posting.</w:t>
      </w:r>
    </w:p>
    <w:p>
      <w:pPr>
        <w:pStyle w:val="Heading1"/>
      </w:pPr>
      <w:r>
        <w:t>4. Dilution / refinancing: ~$23B external need by YE27 before prepayments</w:t>
      </w:r>
    </w:p>
    <w:p>
      <w:r>
        <w:rPr>
          <w:b/>
        </w:rPr>
        <w:t xml:space="preserve">Claim. </w:t>
      </w:r>
      <w:r>
        <w:t>The capex plan outruns internal cash. Pro forma cash ($14.5B) excludes Q3 burn, and Q2 capex alone was $5.66B. ITM converts already add ~50M shares.</w:t>
      </w:r>
    </w:p>
    <w:p>
      <w:r>
        <w:rPr>
          <w:b/>
        </w:rPr>
        <w:t>Evidence.</w:t>
      </w:r>
    </w:p>
    <w:p>
      <w:pPr>
        <w:pStyle w:val="ListBullet"/>
      </w:pPr>
      <w:r>
        <w:t>Model (D/E): cumulative FCF from Q3'26 leaves an external funding need of ~$22.7B by YE27 and ~$50.2B by YE28 (before prepayment working capital). Consensus net debt is $34.3B YE27 / $50.7B YE28 (MarketScreener).</w:t>
      </w:r>
    </w:p>
    <w:p>
      <w:pPr>
        <w:pStyle w:val="ListBullet"/>
      </w:pPr>
      <w:r>
        <w:t>Converts $13.43B, no capped calls; ITM shares 50.02M; options 6.74M (WAEP $88.65), RSUs 6.23M; ATM 12.27M shares remaining (R/D, /workspace/nebius/filings/nebius_fact_base.md)</w:t>
      </w:r>
    </w:p>
    <w:p>
      <w:pPr>
        <w:pStyle w:val="ListBullet"/>
      </w:pPr>
      <w:r>
        <w:t>Q2 OCF +$2,246M was prepayment-driven (deferred revenue +$1.2B); &gt;$9B of prepayments guided for 2026 (R)</w:t>
      </w:r>
    </w:p>
    <w:p>
      <w:r>
        <w:rPr>
          <w:b/>
        </w:rPr>
        <w:t xml:space="preserve">Quantification. </w:t>
      </w:r>
      <w:r>
        <w:t>Fully diluted mechanics (D): at constant EV, per-share value on 350.7M FD shares (gross options) is ~$223, or −$20/share (−8%). Raising half the YE27 gap ($11.3B) in equity at a 20% discount (~$194) dilutes existing holders by ~$8/share (E: (69.85+11.35)/(287.66+58.4M sh) = $234.6). Cost of debt is NBIS 5.1% vs CRWV 8.4%, so NBIS's cheap converts depend on the share price holding.</w:t>
      </w:r>
    </w:p>
    <w:p>
      <w:r>
        <w:rPr>
          <w:b/>
        </w:rPr>
        <w:t xml:space="preserve">Probability / expected. </w:t>
      </w:r>
      <w:r>
        <w:t>70% → ≈ −$20/share (E: 70% × (−$20 FD − $8 discount))</w:t>
      </w:r>
    </w:p>
    <w:p>
      <w:r>
        <w:rPr>
          <w:b/>
        </w:rPr>
        <w:t xml:space="preserve">Bull counterpoint. </w:t>
      </w:r>
      <w:r>
        <w:t>Prepayments (70% of deals cover 50–60% of capex) and secured GPU financing (SOFR+2.50%) reduce equity needs. NVIDIA is a strategic holder.</w:t>
      </w:r>
    </w:p>
    <w:p>
      <w:r>
        <w:rPr>
          <w:b/>
        </w:rPr>
        <w:t xml:space="preserve">Watch. </w:t>
      </w:r>
      <w:r>
        <w:t>Q3 cash and debt; ATM usage; new converts/ABS; whether the 20% issuance authority is used.</w:t>
      </w:r>
    </w:p>
    <w:p>
      <w:pPr>
        <w:pStyle w:val="Heading1"/>
      </w:pPr>
      <w:r>
        <w:t>5. GPU price deflation (counterpoint: Oct 1 list-price hike)</w:t>
      </w:r>
    </w:p>
    <w:p>
      <w:r>
        <w:rPr>
          <w:b/>
        </w:rPr>
        <w:t xml:space="preserve">Claim. </w:t>
      </w:r>
      <w:r>
        <w:t>New-generation supply (Blackwell → Vera Rubin) pushes down prices on older fleets as contracts roll, hitting FY28+ renewals.</w:t>
      </w:r>
    </w:p>
    <w:p>
      <w:r>
        <w:rPr>
          <w:b/>
        </w:rPr>
        <w:t>Evidence.</w:t>
      </w:r>
    </w:p>
    <w:p>
      <w:pPr>
        <w:pStyle w:val="ListBullet"/>
      </w:pPr>
      <w:r>
        <w:t>Nebius raised on-demand list prices 17–21% effective Oct 1, 2026 (H100 $3.85→$4.50; B300 $7.85→$9.50; nebius.com/prices, per GPU Market). BULL COUNTERPOINT.</w:t>
      </w:r>
    </w:p>
    <w:p>
      <w:pPr>
        <w:pStyle w:val="ListBullet"/>
      </w:pPr>
      <w:r>
        <w:t>The implied Microsoft take-or-pay rate (~$11.6M/MW/yr at 300 MW, ~$17.4M at 200 MW per Capacity) is far below on-demand, so the hike barely touches the contracted book</w:t>
      </w:r>
    </w:p>
    <w:p>
      <w:pPr>
        <w:pStyle w:val="ListBullet"/>
      </w:pPr>
      <w:r>
        <w:t>Older-gen pricing &gt;30% higher in Q2 vs Q1 (R, Q2 letter)</w:t>
      </w:r>
    </w:p>
    <w:p>
      <w:r>
        <w:rPr>
          <w:b/>
        </w:rPr>
        <w:t xml:space="preserve">Quantification. </w:t>
      </w:r>
      <w:r>
        <w:t>Sensitivity (D): a 10% price cut on FY28 consensus revenue with fixed costs = −$2.3B EBITDA (−16%). At 4.98x EV/FY28 EBITDA that is −$11.4B EV ≈ −$40/share.</w:t>
      </w:r>
    </w:p>
    <w:p>
      <w:r>
        <w:rPr>
          <w:b/>
        </w:rPr>
        <w:t xml:space="preserve">Probability / expected. </w:t>
      </w:r>
      <w:r>
        <w:t>30% (of a ≥10% realized cut by 2028) → ≈ −$12/share (E); overlaps with leg 1</w:t>
      </w:r>
    </w:p>
    <w:p>
      <w:r>
        <w:rPr>
          <w:b/>
        </w:rPr>
        <w:t xml:space="preserve">Bull counterpoint. </w:t>
      </w:r>
      <w:r>
        <w:t>List prices are rising, not falling. Supply is tight (4+ customers per GPU per CRO). The contracted RPO of $37.5B (36% within 24 months) locks in near-term pricing.</w:t>
      </w:r>
    </w:p>
    <w:p>
      <w:r>
        <w:rPr>
          <w:b/>
        </w:rPr>
        <w:t xml:space="preserve">Watch. </w:t>
      </w:r>
      <w:r>
        <w:t>Open tests: (1) is the hike industry-wide or a cost pass-through? (2) has the commit discount widened? (3) what share of revenue is on-demand vs committed? Also peer price pages and GPU rental indices.</w:t>
      </w:r>
    </w:p>
    <w:p>
      <w:pPr>
        <w:pStyle w:val="Heading1"/>
      </w:pPr>
      <w:r>
        <w:t>6. Customer concentration / contract terms: Microsoft tranche cancellation + delivery conflict</w:t>
      </w:r>
    </w:p>
    <w:p>
      <w:r>
        <w:rPr>
          <w:b/>
        </w:rPr>
        <w:t xml:space="preserve">Claim. </w:t>
      </w:r>
      <w:r>
        <w:t>Top-3 customers were 59% of Q2 revenue. Microsoft (Vineland, 9 tranches, $17.39B owed regardless of use, ~$6.96B upfront, billed through Oct-2031) can cancel a tranche if Nebius misses delivery after a grace period and cannot offer alternative capacity, and late delivery triggers liquidated damages. That makes Vineland slippage a contract-value risk, not just a timing one.</w:t>
      </w:r>
    </w:p>
    <w:p>
      <w:r>
        <w:rPr>
          <w:b/>
        </w:rPr>
        <w:t>Evidence.</w:t>
      </w:r>
    </w:p>
    <w:p>
      <w:pPr>
        <w:pStyle w:val="ListBullet"/>
      </w:pPr>
      <w:r>
        <w:t>Contract terms (R, 6-K Sep 8 2025 https://www.sec.gov/Archives/edgar/data/1513845/000110465925088312/tm2525580d1_6k.htm; 20-F Note 1): 5-yr, tranches 2025–26, ~$17.4B TCV (up to ~$19.4B), ~$3.5B/yr when fully delivered</w:t>
      </w:r>
    </w:p>
    <w:p>
      <w:pPr>
        <w:pStyle w:val="ListBullet"/>
      </w:pPr>
      <w:r>
        <w:t>CONFLICT: the Q2 letter says all tranches are delivered, but the top customer was only ~$140M/qtr in Q2 vs the ~$725–870M/qtr full delivery implies (Capacity; R customer % from https://www.sec.gov/Archives/edgar/data/1513845/000110465926094844/nbis-20260812xex99d2.htm)</w:t>
      </w:r>
    </w:p>
    <w:p>
      <w:pPr>
        <w:pStyle w:val="ListBullet"/>
      </w:pPr>
      <w:r>
        <w:t>Top-3 customers 24% / 21% / 14% of Q2 revenue (R). Meta #1 ~$2.88B/5 yrs with termination on late tranche; Meta #2 $12B firm + up to $15B backstop (likely outside RPO)</w:t>
      </w:r>
    </w:p>
    <w:p>
      <w:r>
        <w:rPr>
          <w:b/>
        </w:rPr>
        <w:t xml:space="preserve">Quantification. </w:t>
      </w:r>
      <w:r>
        <w:t>(E; tranche sizes not disclosed, equal split assumed): one Microsoft tranche ≈ $1.93B TCV ≈ $0.39B/yr = ~3% of FY27 revenue, i.e. −$7.6/share at 5.66x, plus LDs and possible refund of ~$0.77B of upfront cash. Three tranches would be ≈ −$23/share. Microsoft at ~$3.5B/yr is ~28% of FY27 consensus revenue.</w:t>
      </w:r>
    </w:p>
    <w:p>
      <w:r>
        <w:rPr>
          <w:b/>
        </w:rPr>
        <w:t xml:space="preserve">Probability / expected. </w:t>
      </w:r>
      <w:r>
        <w:t>20% that ≥1 tranche is at risk → ≈ −$5/share (E)</w:t>
      </w:r>
    </w:p>
    <w:p>
      <w:r>
        <w:rPr>
          <w:b/>
        </w:rPr>
        <w:t xml:space="preserve">Bull counterpoint. </w:t>
      </w:r>
      <w:r>
        <w:t>Microsoft pays regardless of use once delivered. IG counterparties anchor &gt;$40B of commitments. IREN's similar Microsoft contract shows grace periods running into 2027.</w:t>
      </w:r>
    </w:p>
    <w:p>
      <w:r>
        <w:rPr>
          <w:b/>
        </w:rPr>
        <w:t xml:space="preserve">Watch. </w:t>
      </w:r>
      <w:r>
        <w:t>Claim 1 below: tranche-by-tranche delivery vs schedule; the Filings definition of 'delivered' (delivered vs accepted vs billing).</w:t>
      </w:r>
    </w:p>
    <w:p>
      <w:pPr>
        <w:pStyle w:val="Heading1"/>
      </w:pPr>
      <w:r>
        <w:t>7. Governance / controls</w:t>
      </w:r>
    </w:p>
    <w:p>
      <w:r>
        <w:rPr>
          <w:b/>
        </w:rPr>
        <w:t xml:space="preserve">Claim. </w:t>
      </w:r>
      <w:r>
        <w:t>Controlled company with weak controls and a supplier-investor loop. This is a tail risk rather than a base case.</w:t>
      </w:r>
    </w:p>
    <w:p>
      <w:r>
        <w:rPr>
          <w:b/>
        </w:rPr>
        <w:t>Evidence.</w:t>
      </w:r>
    </w:p>
    <w:p>
      <w:pPr>
        <w:pStyle w:val="ListBullet"/>
      </w:pPr>
      <w:r>
        <w:t>CEO family trust holds Class B with ~52% of voting power and ~11% economic interest; Class B carries 10 votes (R, 20-F)</w:t>
      </w:r>
    </w:p>
    <w:p>
      <w:pPr>
        <w:pStyle w:val="ListBullet"/>
      </w:pPr>
      <w:r>
        <w:t>Two material weaknesses at YE25: fixed assets (depreciation start dates, asset counts) and TripleTen ITGC/revenue (R, 20-F p.25); remediation expected by end-2026</w:t>
      </w:r>
    </w:p>
    <w:p>
      <w:pPr>
        <w:pStyle w:val="ListBullet"/>
      </w:pPr>
      <w:r>
        <w:t>Auditor change Reanda → Deloitte for FY2026 (R, 20-F). NVIDIA is supplier and investor (21.07M pre-funded warrant; 9.3% beneficial per 13G). Yandex legacy.</w:t>
      </w:r>
    </w:p>
    <w:p>
      <w:r>
        <w:rPr>
          <w:b/>
        </w:rPr>
        <w:t xml:space="preserve">Quantification. </w:t>
      </w:r>
      <w:r>
        <w:t>(E) A 10% de-rating on a restatement or delay ≈ −$24/share.</w:t>
      </w:r>
    </w:p>
    <w:p>
      <w:r>
        <w:rPr>
          <w:b/>
        </w:rPr>
        <w:t xml:space="preserve">Probability / expected. </w:t>
      </w:r>
      <w:r>
        <w:t>10% → ≈ −$2/share (E)</w:t>
      </w:r>
    </w:p>
    <w:p>
      <w:r>
        <w:rPr>
          <w:b/>
        </w:rPr>
        <w:t xml:space="preserve">Bull counterpoint. </w:t>
      </w:r>
      <w:r>
        <w:t>A Big-4 auditor upgrade is a positive. Remediation is on schedule.</w:t>
      </w:r>
    </w:p>
    <w:p>
      <w:r>
        <w:rPr>
          <w:b/>
        </w:rPr>
        <w:t xml:space="preserve">Watch. </w:t>
      </w:r>
      <w:r>
        <w:t>Q3 6-K control commentary; FY26 20-F timing and opinion.</w:t>
      </w:r>
    </w:p>
    <w:p>
      <w:pPr>
        <w:pStyle w:val="Heading1"/>
      </w:pPr>
      <w:r>
        <w:t>Five claims to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Claim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Evidence needed</w:t>
            </w:r>
          </w:p>
        </w:tc>
        <w:tc>
          <w:tcPr>
            <w:tcW w:type="dxa" w:w="1728"/>
          </w:tcPr>
          <w:p>
            <w:r>
              <w:t>Timeline / kill criteria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Microsoft: all 9 Vineland tranches are delivered and billing, with no tranche at cancellation/LD risk (vs Q2 top customer ~$140M/qtr against the ~$725–870M/qtr implied).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Nebius Capacity &amp; Power (ground truth: tranche-by-tranche delivery vs schedule, energized MW at Vineland, Bloom fuel cells) + Nebius Filings (what 'delivered' means: delivered vs accepted vs billing; revenue-recognition timing; LDs; refund terms on upfront ~$6.96B)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6-K Sep 8 2025 terms; 20-F Note 1 tranche dates; Q2 letter p.5; Q2 FS customer %; Q3 6-K customer % and deferred-revenue release; site evidence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Capacity posting Tue Oct 6; Filings by Tue Oct 6; re-test at Q3 print (~Nov 10). Confirm if Q3 top customer ≥ ~$700M/qtr; bear if &lt; ~$300M with no explanation.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Capacity ramp: ≥600 MW energized at YE26 and ~1GW average billing MW in 2027 (what $12.3B FY27 consensus needs).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Nebius Capacity &amp; Power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Per-site energization (utility interconnects, permits, construction imagery); Q3 letter connected/active MW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Update Fri Oct 9; Q3 print ~Nov 10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Pricing durability: the Oct 1 list-price hike is industry-wide (not a cost pass-through), commit discounts haven't widened, and on-demand is a meaningful share of revenue.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Nebius GPU Market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Peer price pages (CRWV, Lambda, Together, AWS capacity blocks) and rental indices; Nebius commit vs on-demand tables; Q3 ACV/MW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Thu Oct 8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Depreciation &amp; controls: the 5-yr life holds through Deloitte's first audit, the fixed-asset material weakness is remediated by YE26, and there is no Hopper impairment.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Nebius Filings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Q3 6-K Note 1/7; FY26 20-F; impairment testing language; peer life changes (Amazon 6→5)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Q3 6-K ~Nov 10; FY26 20-F ~Apr 2027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Unit economics &amp; funding: the market needs ~$19M/MW fleet-wide (48% yield) while consensus implies ~$11M/MW. Funding need of ~$23B by YE27 is met mostly by prepayments/secured debt rather than equity.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Nebius Skeptic (this desk) with Modeling/Valuation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03_depreciation.xlsx reverse DCF; prepayment schedule (&gt;$9B 2026); Q3 cash, debt and ATM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03_depreciation due Wed Oct 7; refresh at Q3 print</w:t>
            </w:r>
          </w:p>
        </w:tc>
      </w:tr>
    </w:tbl>
    <w:p>
      <w:pPr>
        <w:pStyle w:val="Heading1"/>
      </w:pPr>
      <w:r>
        <w:t>Gaps / caveats</w:t>
      </w:r>
    </w:p>
    <w:p>
      <w:pPr>
        <w:pStyle w:val="ListBullet"/>
      </w:pPr>
      <w:r>
        <w:t>Q3'26 balance sheet not yet filed, so pro forma cash excludes Q3 burn.</w:t>
      </w:r>
    </w:p>
    <w:p>
      <w:pPr>
        <w:pStyle w:val="ListBullet"/>
      </w:pPr>
      <w:r>
        <w:t>Microsoft tranche sizes, schedule and refund terms not disclosed (equal split assumed).</w:t>
      </w:r>
    </w:p>
    <w:p>
      <w:pPr>
        <w:pStyle w:val="ListBullet"/>
      </w:pPr>
      <w:r>
        <w:t>Active MW not disclosed since YE25 (~170 MW).</w:t>
      </w:r>
    </w:p>
    <w:p>
      <w:pPr>
        <w:pStyle w:val="ListBullet"/>
      </w:pPr>
      <w:r>
        <w:t>$30M/MW all-in capex and the 79% GPU share are estimates (third-party / management via secondary source).</w:t>
      </w:r>
    </w:p>
    <w:p>
      <w:pPr>
        <w:pStyle w:val="ListBullet"/>
      </w:pPr>
      <w:r>
        <w:t>Peer useful lives taken from secondary summaries of 10-Ks; primary pages not re-read.</w:t>
      </w:r>
    </w:p>
    <w:p>
      <w:pPr>
        <w:pStyle w:val="ListBullet"/>
      </w:pPr>
      <w:r>
        <w:t>Probabilities are judgment. Expected values overlap and should not be summed.</w:t>
      </w:r>
    </w:p>
    <w:p>
      <w:r>
        <w:drawing>
          <wp:inline xmlns:a="http://schemas.openxmlformats.org/drawingml/2006/main" xmlns:pic="http://schemas.openxmlformats.org/drawingml/2006/picture">
            <wp:extent cx="5969000" cy="3103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c_reverse_dcf_yiel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1038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