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NBIS Bear Case Outline (Red Team), v2: ranked by impact</w:t>
      </w:r>
    </w:p>
    <w:p>
      <w:r>
        <w:rPr>
          <w:i/>
        </w:rPr>
        <w:t>Nebius Skeptic for Aadit Prayag · draft for Tue Oct 6, 2026 · prices as of close Fri Oct 2, 2026 · v2 compiled Sun Oct 4, 2026, ~6:45 PM ET (v1 kept as 02_bear_outline_v1.*)</w:t>
      </w:r>
    </w:p>
    <w:p>
      <w:r>
        <w:rPr>
          <w:sz w:val="17"/>
        </w:rPr>
        <w:t>Tags: R = Reported · D = Derived (math shown) · E = Estimated (method stated). Probabilities are Red Team judgment, not data. The $/share figures use EV $74.73B, 308.69M economic basic shares (271.86M issued + 15.77M Aug exchange + 21.07M NVIDIA pre-funded warrant; Filings CapStructure, reversal of Oct 4) and $242.81. Fully diluted is 381.5M.</w:t>
      </w:r>
    </w:p>
    <w:p>
      <w:pPr>
        <w:pStyle w:val="Heading1"/>
      </w:pPr>
      <w:r>
        <w:t>The hurdle (what's priced in)</w:t>
      </w:r>
    </w:p>
    <w:p>
      <w:pPr>
        <w:pStyle w:val="ListBullet"/>
      </w:pPr>
      <w:r>
        <w:t>Hurdle (D): EV $74.73B = 6.08x FY27 consensus revenue ($12.30B) and 11.1x FY27 adj. EBITDA ($6.73B). CoreWeave on the same ex-lease basis is 3.03x / 4.78x, so NBIS carries a ~+101% / ~+132% premium. At CRWV's EBITDA multiple, the stock would be ~$105/share (−57%). At CRWV's revenue multiple, ~$121 (−50%).</w:t>
      </w:r>
    </w:p>
    <w:p>
      <w:pPr>
        <w:pStyle w:val="ListBullet"/>
      </w:pPr>
      <w:r>
        <w:t>Rule of thumb (D): at a constant 6.08x, each $1B of FY27 revenue is worth ~$6.1B of EV, or ~$19.7/share.</w:t>
      </w:r>
    </w:p>
    <w:p>
      <w:pPr>
        <w:pStyle w:val="ListBullet"/>
      </w:pPr>
      <w:r>
        <w:t>Reverse DCF (E; 03_depreciation.xlsx v2 Reverse_DCF): the price requires a FY29+ EBITDA yield on gross BILLING GPU capital of ~48% at a 5-yr life (~52% at 4 yrs, ~45% at 6 yrs). On the same basis, FY28 consensus gives ~31% (27% on the v1 in-service basis). At 31%, the DCF EV is negative under every life (−$83B / −$52B / −$31B at 4/5/6 yrs). That holds even if FY29–30 capex halves each year (EV −$48B / −$23B / −$6B; implied yield 51/47/44%). FY28 consensus equals ~$11.0M of revenue and ~$6.7M of EBITDA per billing gross MW on Capacity's base MW path.</w:t>
      </w:r>
    </w:p>
    <w:p>
      <w:pPr>
        <w:pStyle w:val="ListBullet"/>
      </w:pPr>
      <w:r>
        <w:t>Cohort unit economics (E; 03_depreciation.xlsx v2 Cohorts; per gross MW; Capacity capex; 11% WACC). Project IRR at a 5-yr life, owned / leased: installed book ($12M, Hopper-era capex) 15% / 12%. Q2 deals $20M 22% / 23%. Q2 deals $25M 32% / 38%. Short-term &gt;$40M (1-yr, then re-rent) 13% / 10%. Microsoft at $11.6M/gross MW (300 MW basis) −5% (leased), and 15% if the contract covers only 200 MW. Prepayments (55% of capex) lift equity IRRs to ~25–75% for the non-Microsoft cohorts. So the economics depend on new-deal pricing, not on the installed book or on Microsoft.</w:t>
      </w:r>
    </w:p>
    <w:p>
      <w:pPr>
        <w:pStyle w:val="ListBullet"/>
      </w:pPr>
      <w:r>
        <w:t>Site model correction: Nebius is mostly leased, like CoreWeave (started leases $1,625M; $12.05B signed but not commenced). v1's 'owns more sites' framing is dropped. Leased sites need less capex (no shell) but pay rent of ~$2.0–2.5M per IT MW-year. At the Q2-deal ACV, leased-site project IRRs come out at or above owned-site IRRs.</w:t>
      </w:r>
    </w:p>
    <w:p>
      <w:pPr>
        <w:pStyle w:val="Heading1"/>
      </w:pPr>
      <w:r>
        <w:t>Ranked legs</w:t>
      </w:r>
    </w:p>
    <w:p>
      <w:r>
        <w:t>Expected $/share = impact × probability (Red Team judgment). Legs 1, 2 and 5 share one equation (yield × life), so the figures are not additive.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Leg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Expected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Site execution / billing-MW ramp</w:t>
            </w:r>
          </w:p>
        </w:tc>
        <w:tc>
          <w:tcPr>
            <w:tcW w:type="dxa" w:w="2160"/>
          </w:tcPr>
          <w:p>
            <w:r>
              <w:t>25% low / 50% base / 25% high (1-qtr lag)</w:t>
            </w:r>
          </w:p>
        </w:tc>
        <w:tc>
          <w:tcPr>
            <w:tcW w:type="dxa" w:w="2160"/>
          </w:tcPr>
          <w:p>
            <w:r>
              <w:t>≈ −$46/share (E: 0.25×−104 + 0.5×−46 + 0.25×+11)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Microsoft / Vineland</w:t>
            </w:r>
          </w:p>
        </w:tc>
        <w:tc>
          <w:tcPr>
            <w:tcW w:type="dxa" w:w="2160"/>
          </w:tcPr>
          <w:p>
            <w:r>
              <w:t>35% bear timing (Bloom permit slips into 2027); 10% that T5–T9 are cancelled or re-cut</w:t>
            </w:r>
          </w:p>
        </w:tc>
        <w:tc>
          <w:tcPr>
            <w:tcW w:type="dxa" w:w="2160"/>
          </w:tcPr>
          <w:p>
            <w:r>
              <w:t>≈ −$6/share incremental to leg 1 (E: 0.35×−11 + 0.10×−23); tail −$23 to −$69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Unit economics / ROIC</w:t>
            </w:r>
          </w:p>
        </w:tc>
        <w:tc>
          <w:tcPr>
            <w:tcW w:type="dxa" w:w="2160"/>
          </w:tcPr>
          <w:p>
            <w:r>
              <w:t>35% that the realized fleet yield settles at ≤40% on billing capital</w:t>
            </w:r>
          </w:p>
        </w:tc>
        <w:tc>
          <w:tcPr>
            <w:tcW w:type="dxa" w:w="2160"/>
          </w:tcPr>
          <w:p>
            <w:r>
              <w:t>≈ −$65/share (E). This overlaps with legs 1, 4 and 8 (same yield × life equation), so they are not additive.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GPU useful life / depreciation</w:t>
            </w:r>
          </w:p>
        </w:tc>
        <w:tc>
          <w:tcPr>
            <w:tcW w:type="dxa" w:w="2160"/>
          </w:tcPr>
          <w:p>
            <w:r>
              <w:t>35% that the market or Deloitte (FY26 first-year auditor) treats 4 yrs as the economic life</w:t>
            </w:r>
          </w:p>
        </w:tc>
        <w:tc>
          <w:tcPr>
            <w:tcW w:type="dxa" w:w="2160"/>
          </w:tcPr>
          <w:p>
            <w:r>
              <w:t>≈ −$35/share (E)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Governance / controls &amp; earnings quality (raised; claim 4 CONFIRMED)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≈ −$4/share (E)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Dilution / refinancing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≈ −$15/share (E: 0.7 × (−18 −3))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Meta #2 timing</w:t>
            </w:r>
          </w:p>
        </w:tc>
        <w:tc>
          <w:tcPr>
            <w:tcW w:type="dxa" w:w="2160"/>
          </w:tcPr>
          <w:p>
            <w:r>
              <w:t>50% that ≥1 quarter slips</w:t>
            </w:r>
          </w:p>
        </w:tc>
        <w:tc>
          <w:tcPr>
            <w:tcW w:type="dxa" w:w="2160"/>
          </w:tcPr>
          <w:p>
            <w:r>
              <w:t>≈ −$8/share (E; largely inside leg 1)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GPU price deflation (counterpoint</w:t>
            </w:r>
          </w:p>
        </w:tc>
        <w:tc>
          <w:tcPr>
            <w:tcW w:type="dxa" w:w="2160"/>
          </w:tcPr>
          <w:p>
            <w:r>
              <w:t>30% (of a ≥10% realized cut by 2028)</w:t>
            </w:r>
          </w:p>
        </w:tc>
        <w:tc>
          <w:tcPr>
            <w:tcW w:type="dxa" w:w="2160"/>
          </w:tcPr>
          <w:p>
            <w:r>
              <w:t>≈ −$12/share (E); overlaps with leg 3</w:t>
            </w:r>
          </w:p>
        </w:tc>
      </w:tr>
    </w:tbl>
    <w:p>
      <w:pPr>
        <w:pStyle w:val="Heading1"/>
      </w:pPr>
      <w:r>
        <w:t>1. Site execution / billing-MW ramp: FY27 consensus needs Capacity's HIGH case</w:t>
      </w:r>
    </w:p>
    <w:p>
      <w:r>
        <w:rPr>
          <w:b/>
        </w:rPr>
        <w:t xml:space="preserve">Claim. </w:t>
      </w:r>
      <w:r>
        <w:t>On Capacity's named-site quarterly energized MW (Quarterly MW tab: 185/305/424 MW at YE26 and 764/1,069/1,374 at YE27, low/base/high), shifted one quarter for connected-to-billing, FY27 revenue reaches $12.3B only in the high case. The guide is 800 MW–1 GW connected at YE26, last restated orally on the Aug 12 call.</w:t>
      </w:r>
    </w:p>
    <w:p>
      <w:r>
        <w:rPr>
          <w:b/>
        </w:rPr>
        <w:t>Evidence.</w:t>
      </w:r>
    </w:p>
    <w:p>
      <w:pPr>
        <w:pStyle w:val="ListBullet"/>
      </w:pPr>
      <w:r>
        <w:t>Capacity energized MW by site and quarter (E, /workspace/nebius/capacity/nebius_capacity.xlsx (Quarterly MW; Vineland tranche track) + site_verification.md). Sites without a stated basis are treated as gross. Vineland and AIB are IT MW (×1.25 to gross)</w:t>
      </w:r>
    </w:p>
    <w:p>
      <w:pPr>
        <w:pStyle w:val="ListBullet"/>
      </w:pPr>
      <w:r>
        <w:t>Filings: the 'few months' lag runs from connected power to revenue. The model uses 1 quarter by default and tests 2 (R/E, /workspace/nebius/filings/nebius_filings.xlsx)</w:t>
      </w:r>
    </w:p>
    <w:p>
      <w:pPr>
        <w:pStyle w:val="ListBullet"/>
      </w:pPr>
      <w:r>
        <w:t>Q2'26 calibration: ~134 MW non-Vineland billing × $12M/4 + Microsoft T1–T2 ≈ $595M vs $582.3M reported (D)</w:t>
      </w:r>
    </w:p>
    <w:p>
      <w:pPr>
        <w:pStyle w:val="ListBullet"/>
      </w:pPr>
      <w:r>
        <w:t>Pricing (R, Q2 letter https://www.sec.gov/Archives/edgar/data/1513845/000110465926094568/tm2622968d1_ex99-2.htm): installed book at $12M per gross MW-yr. Incremental MW at the $20–25M Q2-deal midpoint ($22.5M). Oct 1 hike applied to the ~4% on-demand + Token Factory share. Microsoft from the tranche schedule (leg 2)</w:t>
      </w:r>
    </w:p>
    <w:p>
      <w:r>
        <w:rPr>
          <w:b/>
        </w:rPr>
        <w:t xml:space="preserve">Quantification. </w:t>
      </w:r>
      <w:r>
        <w:t>FY27 revenue (E, 03_depreciation.xlsx v2 Rev_MW; gap vs $12.3B; $/share at 6.08x): base $9.94B (−$2.36B, −$46). Low $7.01B (−$5.29B, −$104). High $12.86B (+$0.56B, +$11). Base with a 2-qtr lag $7.62B (−$92). Low + 2-qtr lag + Microsoft bear $5.16B (−$141). Unseen sites (Oklahoma and Minnesota are candidates): closing the base gap needs ~42 gross MW added every quarter from Q4'26 (~$56.7M of FY27 revenue per 1 MW/qtr). FY28 bottom-up ($25.3B base) is above consensus ($23.0B), so this is mostly a timing bear: 2027, not the end state.</w:t>
      </w:r>
    </w:p>
    <w:p>
      <w:r>
        <w:rPr>
          <w:b/>
        </w:rPr>
        <w:t xml:space="preserve">Probability / expected. </w:t>
      </w:r>
      <w:r>
        <w:t>25% low / 50% base / 25% high (1-qtr lag) → ≈ −$46/share (E: 0.25×−104 + 0.5×−46 + 0.25×+11)</w:t>
      </w:r>
    </w:p>
    <w:p>
      <w:r>
        <w:rPr>
          <w:b/>
        </w:rPr>
        <w:t xml:space="preserve">Bull counterpoint. </w:t>
      </w:r>
      <w:r>
        <w:t>Management has beaten capacity goals before (contracted 5 GW vs &gt;4 GW). Undisclosed colo sites (Oklahoma, Minnesota, France 2nd, UK 3rd) could plug the gap, and short-term deals at &gt;$40M/MW monetize whatever comes online early.</w:t>
      </w:r>
    </w:p>
    <w:p>
      <w:r>
        <w:rPr>
          <w:b/>
        </w:rPr>
        <w:t xml:space="preserve">Watch. </w:t>
      </w:r>
      <w:r>
        <w:t>Q3 letter connected/active MW (~Nov 10); Capacity's billing-MW row (Tue); energization events at Vineland (Bloom), Béthune, Independence, Birmingham and Kansas City.</w:t>
      </w:r>
    </w:p>
    <w:p>
      <w:pPr>
        <w:pStyle w:val="Heading1"/>
      </w:pPr>
      <w:r>
        <w:t>2. Microsoft / Vineland: a physical genset ceiling turns slippage into contract-value risk</w:t>
      </w:r>
    </w:p>
    <w:p>
      <w:r>
        <w:rPr>
          <w:b/>
        </w:rPr>
        <w:t xml:space="preserve">Claim. </w:t>
      </w:r>
      <w:r>
        <w:t>Vineland is a leased build-to-suit site running on 62 rented gas generators (1.98 MW each, 122.9 MW gross ceiling) and ~5 MW of grid power. The Bloom fuel cells and LNG tank are under stop-construction orders (Aug 6/10). Until Bloom is live, only ~4 of 9 tranches fit (~27 MW IT each, equal-size assumption), which caps the book near ~$1.4–1.5B/yr (~$350–390M/qtr) vs ~$3.5B/yr fully delivered. Microsoft can cancel a tranche after a missed delivery date plus grace period if no alternative capacity is offered, and late delivery triggers liquidated damages.</w:t>
      </w:r>
    </w:p>
    <w:p>
      <w:r>
        <w:rPr>
          <w:b/>
        </w:rPr>
        <w:t>Evidence.</w:t>
      </w:r>
    </w:p>
    <w:p>
      <w:pPr>
        <w:pStyle w:val="ListBullet"/>
      </w:pPr>
      <w:r>
        <w:t>Contract (R, 6-K Sep 8 2025 https://www.sec.gov/Archives/edgar/data/1513845/000110465925088312/tm2525580d1_6k.htm; 20-F Note 1): 9 tranches, $17.39B owed regardless of use (take-or-pay), ~$6.96B upfront, billed through Oct-2031</w:t>
      </w:r>
    </w:p>
    <w:p>
      <w:pPr>
        <w:pStyle w:val="ListBullet"/>
      </w:pPr>
      <w:r>
        <w:t>Physical evidence (E, Capacity): est. live IT load ~33–45 MW at end-Q2 and ~57–75 MW in Q3. The NJ regulator's 45-day permit deadline falls in early-to-mid Nov</w:t>
      </w:r>
    </w:p>
    <w:p>
      <w:pPr>
        <w:pStyle w:val="ListBullet"/>
      </w:pPr>
      <w:r>
        <w:t>Capacity tranche track: T1–T4 within the genset ceiling. T5–T9 bill Q2–Q3'27 (base) or Q3'27–Q1'28 (bear)</w:t>
      </w:r>
    </w:p>
    <w:p>
      <w:pPr>
        <w:pStyle w:val="ListBullet"/>
      </w:pPr>
      <w:r>
        <w:t>CONFLICT: the Aug 12 letter says all tranches are delivered, yet the Q2 top customer was ~$140M/qtr (24% × $582.3M) vs ~$193M for T1+T2 at an equal split and ~$870M fully delivered</w:t>
      </w:r>
    </w:p>
    <w:p>
      <w:r>
        <w:rPr>
          <w:b/>
        </w:rPr>
        <w:t xml:space="preserve">Quantification. </w:t>
      </w:r>
      <w:r>
        <w:t>(E, 03_depreciation.xlsx v2 Microsoft; equal split $96.6M/qtr per tranche; haircut = SLA/service credits + per-tranche termination, not demand). FY27 Microsoft revenue: 'all delivered' $3.48B · base $2.71B · bear $2.13B · T5–T9 cancelled $1.55B. FY27 total revenue vs base: bear −$0.58B (−$11/share); T5–T9 cancelled −$1.16B (−$23/share; −$69 vs consensus). PV of Microsoft revenue at 11%: $13.4B / $12.3B / $11.8B / $5.8B. Unit economics (Cohorts): at $11.6M/gross MW on GB300 leased capex (~$33M per gross MW), project IRR is ~−5% even at a 5-yr life. So the contract only works if it covers ~200 MW ($17.4M/MW, IRR 15%) or if Microsoft-related capex is far lower than Capacity's base.</w:t>
      </w:r>
    </w:p>
    <w:p>
      <w:r>
        <w:rPr>
          <w:b/>
        </w:rPr>
        <w:t xml:space="preserve">Probability / expected. </w:t>
      </w:r>
      <w:r>
        <w:t>35% bear timing (Bloom permit slips into 2027); 10% that T5–T9 are cancelled or re-cut → ≈ −$6/share incremental to leg 1 (E: 0.35×−11 + 0.10×−23); tail −$23 to −$69</w:t>
      </w:r>
    </w:p>
    <w:p>
      <w:r>
        <w:rPr>
          <w:b/>
        </w:rPr>
        <w:t xml:space="preserve">Bull counterpoint. </w:t>
      </w:r>
      <w:r>
        <w:t>Take-or-pay once delivered. Nebius can offer alternative capacity to avoid cancellation. The grace periods on IREN's similar Microsoft contract ran into 2027. The ~$6.96B upfront has already funded the build.</w:t>
      </w:r>
    </w:p>
    <w:p>
      <w:r>
        <w:rPr>
          <w:b/>
        </w:rPr>
        <w:t xml:space="preserve">Watch. </w:t>
      </w:r>
      <w:r>
        <w:t>NJ permit decision (early–mid Nov); Q3 top-customer % and deferred-revenue release; any 6-K on Vineland power; claim 1 below.</w:t>
      </w:r>
    </w:p>
    <w:p>
      <w:pPr>
        <w:pStyle w:val="Heading1"/>
      </w:pPr>
      <w:r>
        <w:t>3. Unit economics / ROIC: the price needs ~48% yield on billing capital vs ~31% in FY28 consensus</w:t>
      </w:r>
    </w:p>
    <w:p>
      <w:r>
        <w:rPr>
          <w:b/>
        </w:rPr>
        <w:t xml:space="preserve">Claim. </w:t>
      </w:r>
      <w:r>
        <w:t>The equity case needs Q2-deal economics ($20–25M/MW) to hold across the whole fleet for the asset life. FY28 consensus itself implies only ~$11M of revenue per billing MW on Capacity's MW path, and the installed book and the Microsoft contract earn far less than new deals.</w:t>
      </w:r>
    </w:p>
    <w:p>
      <w:r>
        <w:rPr>
          <w:b/>
        </w:rPr>
        <w:t>Evidence.</w:t>
      </w:r>
    </w:p>
    <w:p>
      <w:pPr>
        <w:pStyle w:val="ListBullet"/>
      </w:pPr>
      <w:r>
        <w:t>ACV/MW: installed ~$12M; Q2 deals $20–25M, priced on forecast costs and including capacity not yet built; Q3 short-term &gt;$40M (R, https://www.sec.gov/Archives/edgar/data/1513845/000110465926094568/tm2622968d1_ex99-2.htm)</w:t>
      </w:r>
    </w:p>
    <w:p>
      <w:pPr>
        <w:pStyle w:val="ListBullet"/>
      </w:pPr>
      <w:r>
        <w:t>Billing-capital basis (Modeling pushback accepted): FY28 EBITDA $13.98B / avg billing GPU capital = 31.0% vs 27.2% in service (D, 03_depreciation.xlsx v2 Model)</w:t>
      </w:r>
    </w:p>
    <w:p>
      <w:pPr>
        <w:pStyle w:val="ListBullet"/>
      </w:pPr>
      <w:r>
        <w:t>Owned vs leased fleet: FY28 yield 33% if all-owned vs 29% if all-leased; market-implied 49% vs 41% at 5 yrs (E)</w:t>
      </w:r>
    </w:p>
    <w:p>
      <w:pPr>
        <w:pStyle w:val="ListBullet"/>
      </w:pPr>
      <w:r>
        <w:t>Prepayments: 70% of deals cover 50–60% of capex. That helps equity returns (not project returns) and is repaid through lower future cash revenue (R, /workspace/nebius/filings/nebius_fact_base.md)</w:t>
      </w:r>
    </w:p>
    <w:p>
      <w:r>
        <w:rPr>
          <w:b/>
        </w:rPr>
        <w:t xml:space="preserve">Quantification. </w:t>
      </w:r>
      <w:r>
        <w:t>(E, 03_depreciation.xlsx v2 Reverse_DCF) Value gap at the FY28 billing yield: −$510 / −$410 / −$343 per share (4/5/6 yrs). The 48% (5-yr) breakeven compares with 2026 actuals of ~41% EBITDA margin on the installed book.</w:t>
      </w:r>
    </w:p>
    <w:p>
      <w:r>
        <w:rPr>
          <w:b/>
        </w:rPr>
        <w:t xml:space="preserve">Probability / expected. </w:t>
      </w:r>
      <w:r>
        <w:t>35% that the realized fleet yield settles at ≤40% on billing capital → ≈ −$65/share (E). This overlaps with legs 1, 4 and 8 (same yield × life equation), so they are not additive.</w:t>
      </w:r>
    </w:p>
    <w:p>
      <w:r>
        <w:rPr>
          <w:b/>
        </w:rPr>
        <w:t xml:space="preserve">Bull counterpoint. </w:t>
      </w:r>
      <w:r>
        <w:t>Q2/Q3 pricing is far above the installed book. Equity IRRs on prepaid deals run ~40–75%. Consensus FY28 revenue is below Capacity's base-case bottom-up ($25.3B).</w:t>
      </w:r>
    </w:p>
    <w:p>
      <w:r>
        <w:rPr>
          <w:b/>
        </w:rPr>
        <w:t xml:space="preserve">Watch. </w:t>
      </w:r>
      <w:r>
        <w:t>Q3 ACV/MW on new deals; active-MW disclosure; prepayment inflows vs the &gt;$9B 2026 guide.</w:t>
      </w:r>
    </w:p>
    <w:p>
      <w:pPr>
        <w:pStyle w:val="Heading1"/>
      </w:pPr>
      <w:r>
        <w:t>4. GPU useful life / depreciation: the 4→5-yr change adds ~10 pts of EBIT margin</w:t>
      </w:r>
    </w:p>
    <w:p>
      <w:r>
        <w:rPr>
          <w:b/>
        </w:rPr>
        <w:t xml:space="preserve">Claim. </w:t>
      </w:r>
      <w:r>
        <w:t>On 1/1/26 Nebius moved server and network equipment from 4 to 5 years ('usage patterns and current utilization commitments'). Book life changes EBIT, not cash. But economic life drives replacement capex and value.</w:t>
      </w:r>
    </w:p>
    <w:p>
      <w:r>
        <w:rPr>
          <w:b/>
        </w:rPr>
        <w:t>Evidence.</w:t>
      </w:r>
    </w:p>
    <w:p>
      <w:pPr>
        <w:pStyle w:val="ListBullet"/>
      </w:pPr>
      <w:r>
        <w:t>Benefit $43.1M in Q1 and $43.0M in Q2; FY26 ~$167.6M on YE25 assets (R, /workspace/nebius/filings/nebius_filings.xlsx Controls_Depreciation, Note 1). Q2 D&amp;A would be ~$302.7M without it vs $259.7M reported (~14% of D&amp;A, D)</w:t>
      </w:r>
    </w:p>
    <w:p>
      <w:pPr>
        <w:pStyle w:val="ListBullet"/>
      </w:pPr>
      <w:r>
        <w:t>Peers: CRWV 6 yrs, Alphabet/Oracle 6, Meta 5–5.5; Amazon cut a subset 6→5 in 2025 (R via secondary)</w:t>
      </w:r>
    </w:p>
    <w:p>
      <w:r>
        <w:rPr>
          <w:b/>
        </w:rPr>
        <w:t xml:space="preserve">Quantification. </w:t>
      </w:r>
      <w:r>
        <w:t>(D, 03_depreciation.xlsx v2 Annual): EBIT margin on consensus is 7.4% at 4 yrs vs 17.0% at 5 yrs in FY27 (+9.6 pts), and 5.6% vs 16.1% in FY28 (+10.5 pts). At 6 yrs: 23.5% / 23.1%. Value (E): at the market-implied ~48% yield, a 4-yr economic life is worth ~$101/share less than 5 yrs, and 6 yrs ~$66 more.</w:t>
      </w:r>
    </w:p>
    <w:p>
      <w:r>
        <w:rPr>
          <w:b/>
        </w:rPr>
        <w:t xml:space="preserve">Probability / expected. </w:t>
      </w:r>
      <w:r>
        <w:t>35% that the market or Deloitte (FY26 first-year auditor) treats 4 yrs as the economic life → ≈ −$35/share (E)</w:t>
      </w:r>
    </w:p>
    <w:p>
      <w:r>
        <w:rPr>
          <w:b/>
        </w:rPr>
        <w:t xml:space="preserve">Bull counterpoint. </w:t>
      </w:r>
      <w:r>
        <w:t>H100 pricing is rising (Q2 &gt;30% QoQ; Oct 1 list hike), so Hopper still monetizes in years 3–4. At 5 yrs Nebius sits mid-pack among peers.</w:t>
      </w:r>
    </w:p>
    <w:p>
      <w:r>
        <w:rPr>
          <w:b/>
        </w:rPr>
        <w:t xml:space="preserve">Watch. </w:t>
      </w:r>
      <w:r>
        <w:t>Q3 6-K Note 1/7; FY26 20-F (~Apr 2027) with the Deloitte opinion; any Hopper impairment.</w:t>
      </w:r>
    </w:p>
    <w:p>
      <w:pPr>
        <w:pStyle w:val="Heading1"/>
      </w:pPr>
      <w:r>
        <w:t>5. Governance / controls &amp; earnings quality (raised; claim 4 CONFIRMED)</w:t>
      </w:r>
    </w:p>
    <w:p>
      <w:r>
        <w:rPr>
          <w:b/>
        </w:rPr>
        <w:t xml:space="preserve">Claim. </w:t>
      </w:r>
      <w:r>
        <w:t>Both judgments that set D&amp;A are weak. Depreciation start dates sit on failed controls, and the life change came right after year-end in the company's favor. Separately, the Aug 12 letter said all Microsoft tranches were delivered while Vineland ran on unpermitted temporary power, and no 6-K discloses that.</w:t>
      </w:r>
    </w:p>
    <w:p>
      <w:r>
        <w:rPr>
          <w:b/>
        </w:rPr>
        <w:t>Evidence.</w:t>
      </w:r>
    </w:p>
    <w:p>
      <w:pPr>
        <w:pStyle w:val="ListBullet"/>
      </w:pPr>
      <w:r>
        <w:t>CONFIRMED (Filings, high confidence; /workspace/nebius/filings/nebius_filings.xlsx Controls_Depreciation): FY25 20-F Item 15 p.85 says ICFR is not effective. The weakness covers depreciation start dates and asset count. Second year running, with an adverse ICFR opinion from Reanda; remediation pushed to end-2026 (R, https://www.sec.gov/Archives/edgar/data/1513845/000110465926052948/nbis-20251231x20f.htm)</w:t>
      </w:r>
    </w:p>
    <w:p>
      <w:pPr>
        <w:pStyle w:val="ListBullet"/>
      </w:pPr>
      <w:r>
        <w:t>Earnings-quality dollars (R): the life change adds ~$43M a quarter ($167.6M FY26 guided). Capitalized interest was $15.7M in Q1 and $40.2M in Q2, vs $107.5M of gross convert interest in Q2. Together that is ~$83M of Q2 pre-tax benefit, vs $236.2M of adj. EBITDA</w:t>
      </w:r>
    </w:p>
    <w:p>
      <w:pPr>
        <w:pStyle w:val="ListBullet"/>
      </w:pPr>
      <w:r>
        <w:t>EBIT target: the 20–30% medium-term margin was framed in May 2025 'assuming a conservative depreciation schedule of four years', then reaffirmed on Feb 12 2026 without that caveat, on the same call that moved servers to 5 yrs (R, /workspace/nebius/filings/nebius_filings.xlsx Guidance_Log). On a 4-yr basis, FY27/FY28 consensus gives 7.4%/5.6% EBIT. The life change adds ~9.6/10.5 pts and still leaves 17.0%/16.1%, below the target (D)</w:t>
      </w:r>
    </w:p>
    <w:p>
      <w:pPr>
        <w:pStyle w:val="ListBullet"/>
      </w:pPr>
      <w:r>
        <w:t>Depreciation starting late: downgraded to untested-but-not-supported. In-service transfers were $1.78B in Q1 and $0.76B in Q2, with $7.84B not yet in use at 6/30. D&amp;A / avg in-service PP&amp;E ex-life-change is 21.6% (Q1) and 20.0% (Q2), consistent with 5-yr straight-line (Filings, Note 7)</w:t>
      </w:r>
    </w:p>
    <w:p>
      <w:pPr>
        <w:pStyle w:val="ListBullet"/>
      </w:pPr>
      <w:r>
        <w:t>Other: the CEO family trust holds Class B with ~52% of votes and ~11% of economics; the auditor moves from Reanda to Deloitte for FY26; NVIDIA is supplier and investor (21.07M pre-funded warrant). Andrey Korolenko is Chief Product &amp; Infrastructure Officer (not CFO)</w:t>
      </w:r>
    </w:p>
    <w:p>
      <w:r>
        <w:rPr>
          <w:b/>
        </w:rPr>
        <w:t xml:space="preserve">Quantification. </w:t>
      </w:r>
      <w:r>
        <w:t>(E) A 10–15% de-rating on a restatement, a delayed 20-F or a tranche-disclosure issue ≈ −$24 to −$36/share.</w:t>
      </w:r>
    </w:p>
    <w:p>
      <w:r>
        <w:rPr>
          <w:b/>
        </w:rPr>
        <w:t xml:space="preserve">Probability / expected. </w:t>
      </w:r>
      <w:r>
        <w:t>15% → ≈ −$4/share (E)</w:t>
      </w:r>
    </w:p>
    <w:p>
      <w:r>
        <w:rPr>
          <w:b/>
        </w:rPr>
        <w:t xml:space="preserve">Bull counterpoint. </w:t>
      </w:r>
      <w:r>
        <w:t>No misstatement has been found. The auditor did not make the life change a critical audit matter (the PP&amp;E CAM covers placed-in-use dates and capitalization). Moving to a Big-4 auditor is a positive.</w:t>
      </w:r>
    </w:p>
    <w:p>
      <w:r>
        <w:rPr>
          <w:b/>
        </w:rPr>
        <w:t xml:space="preserve">Watch. </w:t>
      </w:r>
      <w:r>
        <w:t>Forward test: does Q3'26 show a large transfer to in-service after the Jul–Aug Vineland tranches? Q3 D&amp;A / in-service ex-change; any 6-K on Vineland power; FY26 20-F ICFR opinion.</w:t>
      </w:r>
    </w:p>
    <w:p>
      <w:pPr>
        <w:pStyle w:val="Heading1"/>
      </w:pPr>
      <w:r>
        <w:t>6. Dilution / refinancing: the funding gap opens in Q2'27, not 2026</w:t>
      </w:r>
    </w:p>
    <w:p>
      <w:r>
        <w:rPr>
          <w:b/>
        </w:rPr>
        <w:t xml:space="preserve">Claim. </w:t>
      </w:r>
      <w:r>
        <w:t>Filings: ~$10.7B unspent at 6/30 plus ~$6.5B raised in Q3 covers H2'26 capex. The gap opens in 2027 and widens in 2028 if capex follows consensus.</w:t>
      </w:r>
    </w:p>
    <w:p>
      <w:r>
        <w:rPr>
          <w:b/>
        </w:rPr>
        <w:t>Evidence.</w:t>
      </w:r>
    </w:p>
    <w:p>
      <w:pPr>
        <w:pStyle w:val="ListBullet"/>
      </w:pPr>
      <w:r>
        <w:t>Liquidity (E, 03_depreciation.xlsx v2 Model, capex at consensus, prepayments on): $7.8B at YE26 → −$7.2B YE27 → −$24.7B YE28 (−$19.8B / −$47.1B without prepayments). Peak need ~$49B by 2030 if FY29–30 capex stays at the FY28 level</w:t>
      </w:r>
    </w:p>
    <w:p>
      <w:pPr>
        <w:pStyle w:val="ListBullet"/>
      </w:pPr>
      <w:r>
        <w:t>Converts $13.43B, net-share settlement default, NO capped calls; calls possible above 130% of conversion, the first in Dec 2026 for the leftover 2029s (R, Filings CapStructure)</w:t>
      </w:r>
    </w:p>
    <w:p>
      <w:pPr>
        <w:pStyle w:val="ListBullet"/>
      </w:pPr>
      <w:r>
        <w:t>FD at $242.81: 381.5M (RSUs 6.23M, options 4.28M on the treasury method, ITM converts 50.02M, ATM 12.27M). All converts regardless of price: 399.6M; net-share settlement 349.9M, needing ~$7.7B cash (R/D)</w:t>
      </w:r>
    </w:p>
    <w:p>
      <w:r>
        <w:rPr>
          <w:b/>
        </w:rPr>
        <w:t xml:space="preserve">Quantification. </w:t>
      </w:r>
      <w:r>
        <w:t>(D) At constant EV, crediting converted principal (~$7.68B ITM) and ATM proceeds (~$2.98B): ~$224/share on 381.5M (−$18, −8%). Funding the YE27 gap ($7.2B) with equity at a 20% discount ($194, ~37M shares) costs another ~$3/share. Dilution steps down as the price falls through $183 (2031/2033 tranches), $139 (2030/2032) and $51 (leftover 2029/2031).</w:t>
      </w:r>
    </w:p>
    <w:p>
      <w:r>
        <w:rPr>
          <w:b/>
        </w:rPr>
        <w:t xml:space="preserve">Probability / expected. </w:t>
      </w:r>
      <w:r>
        <w:t>70% → ≈ −$15/share (E: 0.7 × (−18 −3))</w:t>
      </w:r>
    </w:p>
    <w:p>
      <w:r>
        <w:rPr>
          <w:b/>
        </w:rPr>
        <w:t xml:space="preserve">Bull counterpoint. </w:t>
      </w:r>
      <w:r>
        <w:t>Prepayments (&gt;$9B guided for 2026) and secured GPU financing reduce equity needs. NBIS's cost of debt is 5.1% vs CRWV's 8.4%.</w:t>
      </w:r>
    </w:p>
    <w:p>
      <w:r>
        <w:rPr>
          <w:b/>
        </w:rPr>
        <w:t xml:space="preserve">Watch. </w:t>
      </w:r>
      <w:r>
        <w:t>Q3 cash and debt; ATM usage; any new convert or ABS in 1H27.</w:t>
      </w:r>
    </w:p>
    <w:p>
      <w:pPr>
        <w:pStyle w:val="Heading1"/>
      </w:pPr>
      <w:r>
        <w:t>7. Meta #2 timing: no named site energizes in 1H27</w:t>
      </w:r>
    </w:p>
    <w:p>
      <w:r>
        <w:rPr>
          <w:b/>
        </w:rPr>
        <w:t xml:space="preserve">Claim. </w:t>
      </w:r>
      <w:r>
        <w:t>Meta #2 ($12B firm on Vera Rubin, plus up to $15B backstop likely outside RPO) has tranches due 'throughout 1H27'. MAIN risk is site readiness: no named site energizes in 1H27 (Independence Q3'27, Birmingham 230kV Oct'27, Béthune slipping). SECONDARY risk is Vera Rubin timing: Nebius has only validated a first Vera Rubin rack (Jul 23) vs CoreWeave GA Sep 30. GPU Market's 2–6 month lag behind CoreWeave implies Nebius Rubin GA around Dec'26–Mar'27, still inside 1H27.</w:t>
      </w:r>
    </w:p>
    <w:p>
      <w:r>
        <w:rPr>
          <w:b/>
        </w:rPr>
        <w:t>Evidence.</w:t>
      </w:r>
    </w:p>
    <w:p>
      <w:pPr>
        <w:pStyle w:val="ListBullet"/>
      </w:pPr>
      <w:r>
        <w:t>Meta #2 terms (R, https://www.sec.gov/Archives/edgar/data/1513845/000110465926027886/tm268879d1_ex99-1.htm)</w:t>
      </w:r>
    </w:p>
    <w:p>
      <w:pPr>
        <w:pStyle w:val="ListBullet"/>
      </w:pPr>
      <w:r>
        <w:t>Site dates (E, /workspace/nebius/capacity/nebius_capacity.xlsx (Quarterly MW; Vineland tranche track) + site_verification.md)</w:t>
      </w:r>
    </w:p>
    <w:p>
      <w:pPr>
        <w:pStyle w:val="ListBullet"/>
      </w:pPr>
      <w:r>
        <w:t>Rubin validation (R, Nebius Jul 23) vs CRWV GA Sep 30 (R); lag estimate (E, GPU Market)</w:t>
      </w:r>
    </w:p>
    <w:p>
      <w:r>
        <w:rPr>
          <w:b/>
        </w:rPr>
        <w:t xml:space="preserve">Quantification. </w:t>
      </w:r>
      <w:r>
        <w:t>(E) At ~$2.4B/yr when fully delivered, each quarter of slip removes ~$0.6B of run-rate revenue (~$12/share at 6.08x if it falls in FY27). Two quarters ≈ −$24/share. This overlaps with leg 1, since the slip shows up in the MW path.</w:t>
      </w:r>
    </w:p>
    <w:p>
      <w:r>
        <w:rPr>
          <w:b/>
        </w:rPr>
        <w:t xml:space="preserve">Probability / expected. </w:t>
      </w:r>
      <w:r>
        <w:t>50% that ≥1 quarter slips → ≈ −$8/share (E; largely inside leg 1)</w:t>
      </w:r>
    </w:p>
    <w:p>
      <w:r>
        <w:rPr>
          <w:b/>
        </w:rPr>
        <w:t xml:space="preserve">Bull counterpoint. </w:t>
      </w:r>
      <w:r>
        <w:t>Meta could take capacity at colo/unseen sites. Termination needs a missed date plus grace period. Rubin GA timing is still inside 1H27.</w:t>
      </w:r>
    </w:p>
    <w:p>
      <w:r>
        <w:rPr>
          <w:b/>
        </w:rPr>
        <w:t xml:space="preserve">Watch. </w:t>
      </w:r>
      <w:r>
        <w:t>Independence/Birmingham energization; Nebius Rubin GA announcement; Q3 RPO change.</w:t>
      </w:r>
    </w:p>
    <w:p>
      <w:pPr>
        <w:pStyle w:val="Heading1"/>
      </w:pPr>
      <w:r>
        <w:t>8. GPU price deflation (counterpoint: Oct 1 list-price hike touches ~4% of revenue)</w:t>
      </w:r>
    </w:p>
    <w:p>
      <w:r>
        <w:rPr>
          <w:b/>
        </w:rPr>
        <w:t xml:space="preserve">Claim. </w:t>
      </w:r>
      <w:r>
        <w:t>New-generation supply (Blackwell → Vera Rubin) pushes down prices on older fleets as contracts roll, hitting FY28+ renewals and post-term re-rents.</w:t>
      </w:r>
    </w:p>
    <w:p>
      <w:r>
        <w:rPr>
          <w:b/>
        </w:rPr>
        <w:t>Evidence.</w:t>
      </w:r>
    </w:p>
    <w:p>
      <w:pPr>
        <w:pStyle w:val="ListBullet"/>
      </w:pPr>
      <w:r>
        <w:t>Revenue mix (GPU Market): take-or-pay 45%, reserved ~50%, on-demand + Token Factory ~4%. So the 17–21% Oct 1 hike (H100 $3.85→$4.50; B300 $7.85→$9.50) lifts revenue by only ~0.8% (D)</w:t>
      </w:r>
    </w:p>
    <w:p>
      <w:pPr>
        <w:pStyle w:val="ListBullet"/>
      </w:pPr>
      <w:r>
        <w:t>Older-gen pricing &gt;30% higher in Q2 vs Q1 (R, Q2 letter)</w:t>
      </w:r>
    </w:p>
    <w:p>
      <w:pPr>
        <w:pStyle w:val="ListBullet"/>
      </w:pPr>
      <w:r>
        <w:t>Residual value index after the contract term is PROVISIONAL (A100 cross-section proxy) pending GPU Market's decay curve</w:t>
      </w:r>
    </w:p>
    <w:p>
      <w:r>
        <w:rPr>
          <w:b/>
        </w:rPr>
        <w:t xml:space="preserve">Quantification. </w:t>
      </w:r>
      <w:r>
        <w:t>(D) A 10% price cut on FY28 consensus revenue with fixed costs = −$2.3B EBITDA. At 5.35x EV/FY28 EBITDA that is −$12.3B EV ≈ −$40/share. The hike is worth ~+$0.1B of FY27 revenue (~+$2/share).</w:t>
      </w:r>
    </w:p>
    <w:p>
      <w:r>
        <w:rPr>
          <w:b/>
        </w:rPr>
        <w:t xml:space="preserve">Probability / expected. </w:t>
      </w:r>
      <w:r>
        <w:t>30% (of a ≥10% realized cut by 2028) → ≈ −$12/share (E); overlaps with leg 3</w:t>
      </w:r>
    </w:p>
    <w:p>
      <w:r>
        <w:rPr>
          <w:b/>
        </w:rPr>
        <w:t xml:space="preserve">Bull counterpoint. </w:t>
      </w:r>
      <w:r>
        <w:t>List prices are rising. RPO of $37.5B (36% within 24 months) locks in near-term pricing.</w:t>
      </w:r>
    </w:p>
    <w:p>
      <w:r>
        <w:rPr>
          <w:b/>
        </w:rPr>
        <w:t xml:space="preserve">Watch. </w:t>
      </w:r>
      <w:r>
        <w:t>Open tests: is the hike industry-wide or a cost pass-through, and has the commit discount widened?</w:t>
      </w:r>
    </w:p>
    <w:p>
      <w:pPr>
        <w:pStyle w:val="Heading1"/>
      </w:pPr>
      <w:r>
        <w:t>Five claims to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Claim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Evidence needed</w:t>
            </w:r>
          </w:p>
        </w:tc>
        <w:tc>
          <w:tcPr>
            <w:tcW w:type="dxa" w:w="1728"/>
          </w:tcPr>
          <w:p>
            <w:r>
              <w:t>Timeline / kill criteria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Microsoft: all 9 Vineland tranches are 'delivered' and billing (Aug 12 letter), vs a Q2 top customer of ~$140M/qtr, a genset ceiling that fits ~4 tranches, and Bloom under stop-construction.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 (ground truth: tranche-by-tranche delivery vs schedule; energized MW; Bloom permit) + Filings (definition of 'delivered' vs accepted vs billing; LDs; refund terms on ~$6.96B upfront)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6-K Sep 8 2025; 20-F Note 1; Q2 letter; Q2/Q3 customer %; deferred-revenue release; NJ permit docket; site imagery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posting Tue Oct 6; NJ permit ~early–mid Nov; Q3 print ~Nov 10. Confirm the bull case if Q3 top customer is ≥~$700M/qtr; the bear case if ≤~$390M (genset ceiling).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Capacity ramp: Capacity's base billing-MW path (305 MW YE26 / 1,069 MW YE27 energized) supports $12.3B FY27; the model says only the high case (or ~42 MW/qtr of unseen sites) does.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Billing-MW row (Tue); per-site energization; Q3 connected/active MW; Oklahoma and Minnesota MW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Tue Oct 6 billing-MW row; Q3 print ~Nov 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[PARTLY ANSWERED] Pricing durability: on-demand + Token Factory is ~4% of revenue (answered). Still open: is the hike industry-wide or a cost pass-through, and has the commit discount widened?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GPU Market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Peer price pages; commit vs on-demand tables; A100/H100 decay curve for the residual value input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Thu Oct 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[CONFIRMED, high confidence] Governance: D&amp;A rests on weak controls. ICFR is not effective for the 2nd year (adverse Reanda opinion; the weakness covers depreciation start dates and asset count; remediation end-2026), and the life change came right after year-end. Earnings-quality dollars: ~$43M/qtr from the life change ($167.6M FY26) plus capitalized interest ($15.7M Q1, $40.2M Q2). Test (a) [PENDING Filings confirming the note discloses it]: CIP-to-in-service transfers or the in-service/not-in-service split vs GB300 (Dec 17'25) and the Vineland tranche dates. Q1 $1.78B and Q2 $0.76B transferred; $7.84B not in use at 6/30. Forward test: a large Q3 transfer after the Jul–Aug tranches. Test (b) [RUN]: D&amp;A / avg in-service PP&amp;E with the life change removed (Q2 $302.7M, not $259.7M) = 21.6% Q1 and 20.0% Q2, consistent with 5-yr straight-line. So 'depreciation starts late' is downgraded to untested-but-not-supported.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Filings (lead) + Capacity (energization dates) + GPU Market (time_to_deploy.xlsx Provider_Availability: H200 Oct'24, B200 Jun/Jul'25, GB300 Dec 17'25)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/workspace/nebius/filings/nebius_filings.xlsx Controls_Depreciation &amp; Guidance_Log; 20-F Item 15 p.85; Q1/Q2 Note 1/7; Q3 6-K Note 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Confirmed Oct 4; Q3 6-K ~Nov 10 (transfer test); FY26 20-F ~Apr 2027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Unit economics &amp; funding: the market needs a ~48% FY29+ yield on billing GPU capital (5-yr) vs ~31% in FY28 consensus, and the 2027 funding gap (from Q2'27; −$7.2B YE27, −$24.7B YE28) is met by prepayments and secured debt rather than equity.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Skeptic (this desk) with Modeling/Valuation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03_depreciation.xlsx v2 Reverse_DCF / Cohorts / Model; Q3 cash, debt, ATM; prepayment inflows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 v2 delivered Oct 4; refresh at Q3 print</w:t>
            </w:r>
          </w:p>
        </w:tc>
      </w:tr>
    </w:tbl>
    <w:p>
      <w:pPr>
        <w:pStyle w:val="Heading1"/>
      </w:pPr>
      <w:r>
        <w:t>Gaps / caveats</w:t>
      </w:r>
    </w:p>
    <w:p>
      <w:pPr>
        <w:pStyle w:val="ListBullet"/>
      </w:pPr>
      <w:r>
        <w:t>Q3'26 balance sheet not yet filed. Pro forma cash excludes Q3 burn (Q2 capex alone was $5.66B).</w:t>
      </w:r>
    </w:p>
    <w:p>
      <w:pPr>
        <w:pStyle w:val="ListBullet"/>
      </w:pPr>
      <w:r>
        <w:t>Microsoft tranche sizes are not disclosed (equal split assumed). The T1–T4 MW (~27 MW IT each) is Capacity's equal-size assumption.</w:t>
      </w:r>
    </w:p>
    <w:p>
      <w:pPr>
        <w:pStyle w:val="ListBullet"/>
      </w:pPr>
      <w:r>
        <w:t>Capacity's billing-MW row lands Tue. Until then, billing MW = energized MW shifted by 1 quarter (2 tested).</w:t>
      </w:r>
    </w:p>
    <w:p>
      <w:pPr>
        <w:pStyle w:val="ListBullet"/>
      </w:pPr>
      <w:r>
        <w:t>The residual value index is provisional (no A100 decay curve from GPU Market yet).</w:t>
      </w:r>
    </w:p>
    <w:p>
      <w:pPr>
        <w:pStyle w:val="ListBullet"/>
      </w:pPr>
      <w:r>
        <w:t>Capex per MW is Capacity's base case. Microsoft-related capex could differ materially (it drives the negative Microsoft cohort IRR).</w:t>
      </w:r>
    </w:p>
    <w:p>
      <w:pPr>
        <w:pStyle w:val="ListBullet"/>
      </w:pPr>
      <w:r>
        <w:t>Probabilities are judgment. Expected values overlap and should not be summed.</w:t>
      </w:r>
    </w:p>
    <w:p>
      <w:r>
        <w:drawing>
          <wp:inline xmlns:a="http://schemas.openxmlformats.org/drawingml/2006/main" xmlns:pic="http://schemas.openxmlformats.org/drawingml/2006/picture">
            <wp:extent cx="5969000" cy="310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_reverse_dcf_y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