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NBIS Bear Case Outline (Red Team), v3.4: ranked by impact</w:t>
      </w:r>
    </w:p>
    <w:p>
      <w:r>
        <w:rPr>
          <w:i/>
        </w:rPr>
        <w:t>Nebius Skeptic for Aadit Prayag · draft for Tue Oct 6, 2026 · prices as of close Fri Oct 2, 2026 · v3.4 compiled Sun Oct 4, 2026, ~7:25 PM ET (backups: 02_bear_outline_v3.3.* / _v3.2.* / _v3.1.* / _v2.* / _v1.*)</w:t>
      </w:r>
    </w:p>
    <w:p>
      <w:r>
        <w:rPr>
          <w:sz w:val="17"/>
        </w:rP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1"/>
      </w:pPr>
      <w:r>
        <w:t>The hurdle (what's priced in)</w:t>
      </w:r>
    </w:p>
    <w:p>
      <w:pPr>
        <w:pStyle w:val="ListBullet"/>
      </w:pPr>
      <w: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t>Rule of thumb (D): at a constant 6.08x, each $1B of FY27 revenue is worth ~$6.1B of EV, or ~$19.7/share.</w:t>
      </w:r>
    </w:p>
    <w:p>
      <w:pPr>
        <w:pStyle w:val="ListBullet"/>
      </w:pPr>
      <w: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 on A100-evidence residuals) 22% / 24%.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1"/>
      </w:pPr>
      <w:r>
        <w:t>Ranked legs</w:t>
      </w:r>
    </w:p>
    <w:p>
      <w:r>
        <w:t>Expected $/share = impact × probability (Red Team judgment). Legs 1, 2 and 5 share one equation (yield × life), so the figures are not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Site execution / billing-MW ramp</w:t>
            </w:r>
          </w:p>
        </w:tc>
        <w:tc>
          <w:tcPr>
            <w:tcW w:type="dxa" w:w="2160"/>
          </w:tcPr>
          <w:p>
            <w:r>
              <w:t>25% low / 50% base / 25% high (1-qtr lag)</w:t>
            </w:r>
          </w:p>
        </w:tc>
        <w:tc>
          <w:tcPr>
            <w:tcW w:type="dxa" w:w="2160"/>
          </w:tcPr>
          <w:p>
            <w:r>
              <w:t>≈ −$46/share (E: 0.25×−104 + 0.5×−46 + 0.25×+11)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Microsoft / Vineland</w:t>
            </w:r>
          </w:p>
        </w:tc>
        <w:tc>
          <w:tcPr>
            <w:tcW w:type="dxa" w:w="2160"/>
          </w:tcPr>
          <w:p>
            <w:r>
              <w:t>35% bear timing (Bloom permit slips into 2027); 10% that T5–T9 are cancelled or re-cut</w:t>
            </w:r>
          </w:p>
        </w:tc>
        <w:tc>
          <w:tcPr>
            <w:tcW w:type="dxa" w:w="2160"/>
          </w:tcPr>
          <w:p>
            <w:r>
              <w:t>≈ −$6/share incremental to leg 1 (E: 0.35×−11 + 0.10×−23); tail −$23 to −$69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Unit economics / ROIC</w:t>
            </w:r>
          </w:p>
        </w:tc>
        <w:tc>
          <w:tcPr>
            <w:tcW w:type="dxa" w:w="2160"/>
          </w:tcPr>
          <w:p>
            <w:r>
              <w:t>35% that the realized fleet yield settles at ≤40% on billing capital</w:t>
            </w:r>
          </w:p>
        </w:tc>
        <w:tc>
          <w:tcPr>
            <w:tcW w:type="dxa" w:w="2160"/>
          </w:tcPr>
          <w:p>
            <w:r>
              <w:t>≈ −$65/share (E). This overlaps with legs 1 and 7 (same yield equation), so they are not additive.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Governance / controls &amp; earnings quality (raised; claim 4 CONFIRMED)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≈ −$4/share (E)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Dilution / refinancing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≈ −$15/share (E: 0.7 × (−18 −3))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Meta #2 timing</w:t>
            </w:r>
          </w:p>
        </w:tc>
        <w:tc>
          <w:tcPr>
            <w:tcW w:type="dxa" w:w="2160"/>
          </w:tcPr>
          <w:p>
            <w:r>
              <w:t>50% that ≥1 quarter slips</w:t>
            </w:r>
          </w:p>
        </w:tc>
        <w:tc>
          <w:tcPr>
            <w:tcW w:type="dxa" w:w="2160"/>
          </w:tcPr>
          <w:p>
            <w:r>
              <w:t>≈ −$8/share (E; largely inside leg 1)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Price cycle + earnings quality (re-ranked lower</w:t>
            </w:r>
          </w:p>
        </w:tc>
        <w:tc>
          <w:tcPr>
            <w:tcW w:type="dxa" w:w="2160"/>
          </w:tcPr>
          <w:p>
            <w:r>
              <w:t>40% that a Blackwell price cycle of the base size materializes after Rubin GA</w:t>
            </w:r>
          </w:p>
        </w:tc>
        <w:tc>
          <w:tcPr>
            <w:tcW w:type="dxa" w:w="2160"/>
          </w:tcPr>
          <w:p>
            <w:r>
              <w:t>≈ −$9/share (E: 0.4 × FY28 −$22). Overlaps with leg 3 (yield). Stays ranked LAST: past cycles show the older chip's price holding up (H100 median $3.44 Jun'25 and $3.99 Oct'26; B200 down only ~2% since CoreWeave's Rubin launch on Sep 30)</w:t>
            </w:r>
          </w:p>
        </w:tc>
      </w:tr>
    </w:tbl>
    <w:p>
      <w:pPr>
        <w:pStyle w:val="Heading1"/>
      </w:pPr>
      <w:r>
        <w:t>1. Site execution / billing-MW ramp: FY27 consensus needs Capacity's HIGH case</w:t>
      </w:r>
    </w:p>
    <w:p>
      <w:r>
        <w:rPr>
          <w:b/>
        </w:rPr>
        <w:t xml:space="preserve">Claim. </w:t>
      </w:r>
      <w:r>
        <w:t>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>
        <w:rPr>
          <w:b/>
        </w:rPr>
        <w:t>Evidence.</w:t>
      </w:r>
    </w:p>
    <w:p>
      <w:pPr>
        <w:pStyle w:val="ListBullet"/>
      </w:pPr>
      <w: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t>Q2'26 calibration: ~134 MW non-Vineland billing × $12M/4 + Microsoft T1–T2 ≈ $595M vs $582.3M reported (D)</w:t>
      </w:r>
    </w:p>
    <w:p>
      <w:pPr>
        <w:pStyle w:val="ListBullet"/>
      </w:pPr>
      <w: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>
        <w:rPr>
          <w:b/>
        </w:rPr>
        <w:t xml:space="preserve">Quantification. </w:t>
      </w:r>
      <w:r>
        <w:t>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>
        <w:rPr>
          <w:b/>
        </w:rPr>
        <w:t xml:space="preserve">Probability / expected. </w:t>
      </w:r>
      <w:r>
        <w:t>25% low / 50% base / 25% high (1-qtr lag) → ≈ −$46/share (E: 0.25×−104 + 0.5×−46 + 0.25×+11)</w:t>
      </w:r>
    </w:p>
    <w:p>
      <w:r>
        <w:rPr>
          <w:b/>
        </w:rPr>
        <w:t xml:space="preserve">Bull counterpoint. </w:t>
      </w:r>
      <w:r>
        <w:t>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>
        <w:rPr>
          <w:b/>
        </w:rPr>
        <w:t xml:space="preserve">Watch. </w:t>
      </w:r>
      <w:r>
        <w:t>Q3 letter connected/active MW (~Nov 10); Capacity's billing-MW row (Tue); energization events at Vineland (Bloom), Béthune, Independence, Birmingham and Kansas City.</w:t>
      </w:r>
    </w:p>
    <w:p>
      <w:pPr>
        <w:pStyle w:val="Heading1"/>
      </w:pPr>
      <w:r>
        <w:t>2. Microsoft / Vineland: a physical genset ceiling turns slippage into contract-value risk</w:t>
      </w:r>
    </w:p>
    <w:p>
      <w:r>
        <w:rPr>
          <w:b/>
        </w:rPr>
        <w:t xml:space="preserve">Claim. </w:t>
      </w:r>
      <w:r>
        <w:t>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>
        <w:rPr>
          <w:b/>
        </w:rPr>
        <w:t>Evidence.</w:t>
      </w:r>
    </w:p>
    <w:p>
      <w:pPr>
        <w:pStyle w:val="ListBullet"/>
      </w:pPr>
      <w: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t>Capacity tranche track: T1–T4 within the genset ceiling. T5–T9 bill Q2–Q3'27 (base) or Q3'27–Q1'28 (bear)</w:t>
      </w:r>
    </w:p>
    <w:p>
      <w:pPr>
        <w:pStyle w:val="ListBullet"/>
      </w:pPr>
      <w:r>
        <w:t>CONFLICT: the Aug 12 letter says all tranches are delivered, yet the Q2 top customer was ~$140M/qtr (24% × $582.3M) vs ~$193M for T1+T2 at an equal split and ~$870M fully delivered</w:t>
      </w:r>
    </w:p>
    <w:p>
      <w:r>
        <w:rPr>
          <w:b/>
        </w:rPr>
        <w:t xml:space="preserve">Quantification. </w:t>
      </w:r>
      <w:r>
        <w:t>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>
        <w:rPr>
          <w:b/>
        </w:rPr>
        <w:t xml:space="preserve">Probability / expected. </w:t>
      </w:r>
      <w:r>
        <w:t>35% bear timing (Bloom permit slips into 2027); 10% that T5–T9 are cancelled or re-cut → ≈ −$6/share incremental to leg 1 (E: 0.35×−11 + 0.10×−23); tail −$23 to −$69</w:t>
      </w:r>
    </w:p>
    <w:p>
      <w:r>
        <w:rPr>
          <w:b/>
        </w:rPr>
        <w:t xml:space="preserve">Bull counterpoint. </w:t>
      </w:r>
      <w:r>
        <w:t>Take-or-pay once delivered. Nebius can offer alternative capacity to avoid cancellation. The grace periods on IREN's similar Microsoft contract ran into 2027. The ~$6.96B upfront has already funded the build.</w:t>
      </w:r>
    </w:p>
    <w:p>
      <w:r>
        <w:rPr>
          <w:b/>
        </w:rPr>
        <w:t xml:space="preserve">Watch. </w:t>
      </w:r>
      <w:r>
        <w:t>NJ permit decision (early–mid Nov); Q3 top-customer % and deferred-revenue release; any 6-K on Vineland power; claim 1 below.</w:t>
      </w:r>
    </w:p>
    <w:p>
      <w:pPr>
        <w:pStyle w:val="Heading1"/>
      </w:pPr>
      <w:r>
        <w:t>3. Unit economics / ROIC: the price needs ~48% yield on billing capital vs ~31% in FY28 consensus</w:t>
      </w:r>
    </w:p>
    <w:p>
      <w:r>
        <w:rPr>
          <w:b/>
        </w:rPr>
        <w:t xml:space="preserve">Claim. </w:t>
      </w:r>
      <w:r>
        <w:t>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>
        <w:rPr>
          <w:b/>
        </w:rPr>
        <w:t>Evidence.</w:t>
      </w:r>
    </w:p>
    <w:p>
      <w:pPr>
        <w:pStyle w:val="ListBullet"/>
      </w:pPr>
      <w: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t>Owned vs leased fleet: FY28 yield 33% if all-owned vs 29% if all-leased; market-implied 49% vs 41% at 5 yrs (E)</w:t>
      </w:r>
    </w:p>
    <w:p>
      <w:pPr>
        <w:pStyle w:val="ListBullet"/>
      </w:pPr>
      <w:r>
        <w:t>Prepayments: 70% of deals cover 50–60% of capex. That helps equity returns (not project returns) and is repaid through lower future cash revenue (R, /workspace/nebius/filings/nebius_fact_base.md)</w:t>
      </w:r>
    </w:p>
    <w:p>
      <w:r>
        <w:rPr>
          <w:b/>
        </w:rPr>
        <w:t xml:space="preserve">Quantification. </w:t>
      </w:r>
      <w:r>
        <w:t>(E, 03_depreciation.xlsx v2 Reverse_DCF) Value gap at the FY28 billing yield: −$510 / −$410 / −$343 per share (4/5/6 yrs). The 48% (5-yr) breakeven compares with 2026 actuals of ~41% EBITDA margin on the installed book.</w:t>
      </w:r>
    </w:p>
    <w:p>
      <w:r>
        <w:rPr>
          <w:b/>
        </w:rPr>
        <w:t xml:space="preserve">Probability / expected. </w:t>
      </w:r>
      <w:r>
        <w:t>35% that the realized fleet yield settles at ≤40% on billing capital → ≈ −$65/share (E). This overlaps with legs 1 and 7 (same yield equation), so they are not additive.</w:t>
      </w:r>
    </w:p>
    <w:p>
      <w:r>
        <w:rPr>
          <w:b/>
        </w:rPr>
        <w:t xml:space="preserve">Bull counterpoint. </w:t>
      </w:r>
      <w:r>
        <w:t>Q2/Q3 pricing is far above the installed book. Equity IRRs on prepaid deals run ~40–75%. Consensus FY28 revenue is below Capacity's base-case bottom-up ($25.3B).</w:t>
      </w:r>
    </w:p>
    <w:p>
      <w:r>
        <w:rPr>
          <w:b/>
        </w:rPr>
        <w:t xml:space="preserve">Watch. </w:t>
      </w:r>
      <w:r>
        <w:t>Q3 ACV/MW on new deals; active-MW disclosure; prepayment inflows vs the &gt;$9B 2026 guide.</w:t>
      </w:r>
    </w:p>
    <w:p>
      <w:pPr>
        <w:pStyle w:val="Heading1"/>
      </w:pPr>
      <w:r>
        <w:t>4. Governance / controls &amp; earnings quality (raised; claim 4 CONFIRMED)</w:t>
      </w:r>
    </w:p>
    <w:p>
      <w:r>
        <w:rPr>
          <w:b/>
        </w:rPr>
        <w:t xml:space="preserve">Claim. </w:t>
      </w:r>
      <w:r>
        <w:t>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>
        <w:rPr>
          <w:b/>
        </w:rPr>
        <w:t>Evidence.</w:t>
      </w:r>
    </w:p>
    <w:p>
      <w:pPr>
        <w:pStyle w:val="ListBullet"/>
      </w:pPr>
      <w: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>
        <w:rPr>
          <w:b/>
        </w:rPr>
        <w:t xml:space="preserve">Quantification. </w:t>
      </w:r>
      <w:r>
        <w:t>(E) A 10–15% de-rating on a restatement, a delayed 20-F or a tranche-disclosure issue ≈ −$24 to −$36/share.</w:t>
      </w:r>
    </w:p>
    <w:p>
      <w:r>
        <w:rPr>
          <w:b/>
        </w:rPr>
        <w:t xml:space="preserve">Probability / expected. </w:t>
      </w:r>
      <w:r>
        <w:t>15% → ≈ −$4/share (E)</w:t>
      </w:r>
    </w:p>
    <w:p>
      <w:r>
        <w:rPr>
          <w:b/>
        </w:rPr>
        <w:t xml:space="preserve">Bull counterpoint. </w:t>
      </w:r>
      <w:r>
        <w:t>No misstatement has been found. The auditor did not make the life change a critical audit matter (the PP&amp;E CAM covers placed-in-use dates and capitalization). Moving to a Big-4 auditor is a positive.</w:t>
      </w:r>
    </w:p>
    <w:p>
      <w:r>
        <w:rPr>
          <w:b/>
        </w:rPr>
        <w:t xml:space="preserve">Watch. </w:t>
      </w:r>
      <w:r>
        <w:t>Forward test: does Q3'26 show a large transfer to in-service after the Jul–Aug Vineland tranches? Q3 D&amp;A / in-service ex-change; any 6-K on Vineland power; FY26 20-F ICFR opinion.</w:t>
      </w:r>
    </w:p>
    <w:p>
      <w:pPr>
        <w:pStyle w:val="Heading1"/>
      </w:pPr>
      <w:r>
        <w:t>5. Dilution / refinancing: base-case funding gap opens in Q4'27 (path-consistent capex)</w:t>
      </w:r>
    </w:p>
    <w:p>
      <w:r>
        <w:rPr>
          <w:b/>
        </w:rPr>
        <w:t xml:space="preserve">Claim. </w:t>
      </w:r>
      <w:r>
        <w:t>H2'26 is funded. v3.2 base case: capex follows Capacity's energized-MW path (owned and leased capex per IT MW by generation), not consensus. On that basis liquidity first goes negative in Q4'27 and the gap is ~$7B by YE28. Consensus capex ($29.1B FY27 / $38.9B FY28) buys MW faster than Capacity sees them energizing, and on that basis the gap opens in Q2'27. Either the funding gap or the revenue gap (leg 1) shows up.</w:t>
      </w:r>
    </w:p>
    <w:p>
      <w:r>
        <w:rPr>
          <w:b/>
        </w:rPr>
        <w:t>Evidence.</w:t>
      </w:r>
    </w:p>
    <w:p>
      <w:pPr>
        <w:pStyle w:val="ListBullet"/>
      </w:pPr>
      <w:r>
        <w:t>Starting liquidity $14,565M = 6/30 unrestricted cash $8.04B + Aug converts $5.75B + secured loan up to $0.775B. Prepayments are seeded from $5.98B of deferred revenue, and only new prepayments count as inflows (R/D, Filings)</w:t>
      </w:r>
    </w:p>
    <w:p>
      <w:pPr>
        <w:pStyle w:val="ListBullet"/>
      </w:pPr>
      <w:r>
        <w:t>Path-consistent capex (E, 03_depreciation.xlsx v2 Model; Capacity Quarterly MW). Owned: GB200 ~$42M / GB300 ~$53M / VR ~$43M per IT MW incl. ~$10–12.5M shell, spent 2 qtrs before energization. Leased, IT only: GB200 ~$30M / GB300 ~$41M / VR ~$32M per IT MW (Estimated, medium confidence, Capacity) plus rent of $2.0–2.5M per MW-yr. GPUs bought 1 qtr before billing</w:t>
      </w:r>
    </w:p>
    <w:p>
      <w:pPr>
        <w:pStyle w:val="ListBullet"/>
      </w:pPr>
      <w:r>
        <w:t>Zero-liquidity quarter / YE27 / YE28 (E). Path low: none by 2030 / +$7.1B / +$1.5B. PATH BASE: Q4'27 / −$0.15B / −$6.8B. Path high: Q3'27 / −$7.4B / −$15.6B. Consensus capex: Q2'27 / −$9.9B / −$27.7B. Expected YE27 ~−$1.5B / YE28 ~−$8.8B holds only if VR leased capex is priced like GB300 ($41M): −$1.45B / −$8.7B</w:t>
      </w:r>
    </w:p>
    <w:p>
      <w:pPr>
        <w:pStyle w:val="ListBullet"/>
      </w:pPr>
      <w:r>
        <w:t>Caveat: EBITDA is held at consensus on the path basis, which flatters liquidity (Capacity's base path supports only ~$9.9B of FY27 revenue)</w:t>
      </w:r>
    </w:p>
    <w:p>
      <w:pPr>
        <w:pStyle w:val="ListBullet"/>
      </w:pPr>
      <w:r>
        <w:t>Converts $13.43B, net-share settlement default, NO capped calls. Calls possible above 130% of conversion; the first is Dec 2026 for the leftover 2029s (R, Filings CapStructure)</w:t>
      </w:r>
    </w:p>
    <w:p>
      <w:pPr>
        <w:pStyle w:val="ListBullet"/>
      </w:pPr>
      <w:r>
        <w:t>FD at $242.81: 381.5M (RSUs 6.23M, options 4.28M on TSM, ITM converts 50.02M, ATM 12.27M). All converts regardless of price: 399.6M; net-share settlement 349.9M, needing ~$7.7B of cash (R/D)</w:t>
      </w:r>
    </w:p>
    <w:p>
      <w:r>
        <w:rPr>
          <w:b/>
        </w:rPr>
        <w:t xml:space="preserve">Quantification. </w:t>
      </w:r>
      <w:r>
        <w:t>(D) At constant EV, crediting converted principal (~$7.68B ITM) and ATM proceeds (~$2.98B): ~$224/share on 381.5M (−$18, −8%). Funding the base-case YE28 gap (~$6.8B) with equity at a 20% discount ($194, ~35M shares) costs another ~$3/share. On consensus capex (YE28 −$27.7B, ~143M shares) it costs ~−$8/share. Dilution steps down as the price falls through $183 (2031/2033 tranches), $139 (2030/2032) and $51 (leftover 2029/2031).</w:t>
      </w:r>
    </w:p>
    <w:p>
      <w:r>
        <w:rPr>
          <w:b/>
        </w:rPr>
        <w:t xml:space="preserve">Probability / expected. </w:t>
      </w:r>
      <w:r>
        <w:t>70% → ≈ −$15/share (E: 0.7 × (−18 −3))</w:t>
      </w:r>
    </w:p>
    <w:p>
      <w:r>
        <w:rPr>
          <w:b/>
        </w:rPr>
        <w:t xml:space="preserve">Bull counterpoint. </w:t>
      </w:r>
      <w:r>
        <w:t>Prepayments (&gt;$9B guided for 2026) and secured GPU financing reduce equity needs. NBIS's cost of debt is 5.1% vs CRWV's 8.4%. On Capacity's low path there is no gap through 2030.</w:t>
      </w:r>
    </w:p>
    <w:p>
      <w:r>
        <w:rPr>
          <w:b/>
        </w:rPr>
        <w:t xml:space="preserve">Watch. </w:t>
      </w:r>
      <w:r>
        <w:t>Q3 cash and debt; ATM usage; any new convert or ABS in 2H27; Capacity's billing-MW row (Tue) to re-time the path.</w:t>
      </w:r>
    </w:p>
    <w:p>
      <w:pPr>
        <w:pStyle w:val="Heading1"/>
      </w:pPr>
      <w:r>
        <w:t>6. Meta #2 timing: no named site energizes in 1H27</w:t>
      </w:r>
    </w:p>
    <w:p>
      <w:r>
        <w:rPr>
          <w:b/>
        </w:rPr>
        <w:t xml:space="preserve">Claim. </w:t>
      </w:r>
      <w:r>
        <w:t>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>
        <w:rPr>
          <w:b/>
        </w:rPr>
        <w:t>Evidence.</w:t>
      </w:r>
    </w:p>
    <w:p>
      <w:pPr>
        <w:pStyle w:val="ListBullet"/>
      </w:pPr>
      <w:r>
        <w:t>Meta #2 terms (R, https://www.sec.gov/Archives/edgar/data/1513845/000110465926027886/tm268879d1_ex99-1.htm)</w:t>
      </w:r>
    </w:p>
    <w:p>
      <w:pPr>
        <w:pStyle w:val="ListBullet"/>
      </w:pPr>
      <w:r>
        <w:t>Site dates (E, /workspace/nebius/capacity/nebius_capacity.xlsx (Quarterly MW; Vineland tranche track) + site_verification.md)</w:t>
      </w:r>
    </w:p>
    <w:p>
      <w:pPr>
        <w:pStyle w:val="ListBullet"/>
      </w:pPr>
      <w:r>
        <w:t>Rubin validation (R, Nebius Jul 23) vs CRWV GA Sep 30 (R); lag estimate (E, GPU Market)</w:t>
      </w:r>
    </w:p>
    <w:p>
      <w:r>
        <w:rPr>
          <w:b/>
        </w:rPr>
        <w:t xml:space="preserve">Quantification. </w:t>
      </w:r>
      <w:r>
        <w:t>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>
        <w:rPr>
          <w:b/>
        </w:rPr>
        <w:t xml:space="preserve">Probability / expected. </w:t>
      </w:r>
      <w:r>
        <w:t>50% that ≥1 quarter slips → ≈ −$8/share (E; largely inside leg 1)</w:t>
      </w:r>
    </w:p>
    <w:p>
      <w:r>
        <w:rPr>
          <w:b/>
        </w:rPr>
        <w:t xml:space="preserve">Bull counterpoint. </w:t>
      </w:r>
      <w:r>
        <w:t>Meta could take capacity at colo/unseen sites. Termination needs a missed date plus grace period. Rubin GA timing is still inside 1H27.</w:t>
      </w:r>
    </w:p>
    <w:p>
      <w:r>
        <w:rPr>
          <w:b/>
        </w:rPr>
        <w:t xml:space="preserve">Watch. </w:t>
      </w:r>
      <w:r>
        <w:t>Independence/Birmingham energization; Nebius Rubin GA announcement; Q3 RPO change.</w:t>
      </w:r>
    </w:p>
    <w:p>
      <w:pPr>
        <w:pStyle w:val="Heading1"/>
      </w:pPr>
      <w:r>
        <w:t>7. Price cycle + earnings quality (re-ranked lower: a short economic life is NOT supported)</w:t>
      </w:r>
    </w:p>
    <w:p>
      <w:r>
        <w:rPr>
          <w:b/>
        </w:rPr>
        <w:t xml:space="preserve">Claim. </w:t>
      </w:r>
      <w:r>
        <w:t>v3.1 restatement: GPU Market's A100 evidence supports a 5–6 yr economic life, so the depreciation bear no longer rests on a short life. It rests on (i) a Blackwell price cycle after Rubin launches and (ii) earnings quality: the life change and capitalized interest flatter EBIT.</w:t>
      </w:r>
    </w:p>
    <w:p>
      <w:r>
        <w:rPr>
          <w:b/>
        </w:rPr>
        <w:t>Evidence.</w:t>
      </w:r>
    </w:p>
    <w:p>
      <w:pPr>
        <w:pStyle w:val="ListBullet"/>
      </w:pPr>
      <w:r>
        <w:t>A100 (launched Nov-20) still rents near list in year 6. Hyperscaler list fell only −1.8%/yr 2020–26. The neocloud composite ROSE +12%/yr ($1.23 → $2.00). The 80GB median went $1.87 → $2.50. Spot median is roughly flat. These are list prices (R, /workspace/nebius/market/gpu_price_history.xlsx A100_Decay)</w:t>
      </w:r>
    </w:p>
    <w:p>
      <w:pPr>
        <w:pStyle w:val="ListBullet"/>
      </w:pPr>
      <w:r>
        <w:t>Residual index in 03_depreciation.xlsx v2 now uses −1.8%/yr (0.91x at age 6) × 60% re-rent utilization. 6-yr vs 5-yr project IRR gains only ~1.5–3 pts per cohort, so life is not the swing factor (E)</w:t>
      </w:r>
    </w:p>
    <w:p>
      <w:pPr>
        <w:pStyle w:val="ListBullet"/>
      </w:pPr>
      <w:r>
        <w:t>Earnings quality (R, /workspace/nebius/filings/nebius_filings.xlsx Controls_Depreciation): the life change adds ~$43M/qtr ($167.6M FY26 guided; ~14% of Q2 D&amp;A). Capitalized interest was $15.7M Q1 and $40.2M Q2 vs $107.5M of gross convert interest. On a 4-yr basis, FY27/FY28 consensus EBIT margin is 7.4%/5.6% vs 17.0%/16.1% at 5 yrs (+9.6/+10.5 pts)</w:t>
      </w:r>
    </w:p>
    <w:p>
      <w:pPr>
        <w:pStyle w:val="ListBullet"/>
      </w:pPr>
      <w:r>
        <w:t>Revenue mix (GPU Market): take-or-pay 45% (not exposed), reserved ~50% (exposed as contracts renew), on-demand + Token Factory ~4% (fully exposed). The Oct 1 list hike (+17–21%) touches only ~4% of revenue (~+0.8%)</w:t>
      </w:r>
    </w:p>
    <w:p>
      <w:r>
        <w:rPr>
          <w:b/>
        </w:rPr>
        <w:t xml:space="preserve">Quantification. </w:t>
      </w:r>
      <w:r>
        <w:t>Price cycle (E, 03_depreciation.xlsx v2 Rev_MW; v3.4 team reset). All scenarios: 50% of the reserved book renews within FY27, on our MW-path revenue build; on-demand fully exposed; take-or-pay not exposed; 5-yr life unchanged. Only the Blackwell $/GPU-hr cut varies, phased in over the 12 months after Rubin launches (Q1'27). FY27 revenue = EBITDA hit (MW-path / scaled to consensus): BULL 6.25% cut (midpoint of 0–12.5%) −$77M / −$95M. BASE 22% cut (H200 swing: neocloud median on-demand list $5.15 Dec'24 → $4.04 Sep'25) −$271M / −$336M (−5.0% of FY27 EBITDA, ≈ −$12/share at 11.1x). BEAR 31% cut (Nebius B200 at $8.50 closes its ~13% premium to the $7.49 median, then a 22% swing → ~$5.84) −$383M / −$474M. FY28 base −$1.29B (≈ −$22/share at 5.35x). Renewal timing comes from Nebius pricing-page terms, not a filing (Modeling's earlier schedule was a model assumption). The 39% H100 template is DROPPED: that was the launch premium coming off ($4.85 → $2.95 in 2024, before Blackwell), not a successor cutting the price.</w:t>
      </w:r>
    </w:p>
    <w:p>
      <w:r>
        <w:rPr>
          <w:b/>
        </w:rPr>
        <w:t xml:space="preserve">Probability / expected. </w:t>
      </w:r>
      <w:r>
        <w:t>40% that a Blackwell price cycle of the base size materializes after Rubin GA → ≈ −$9/share (E: 0.4 × FY28 −$22). Overlaps with leg 3 (yield). Stays ranked LAST: past cycles show the older chip's price holding up (H100 median $3.44 Jun'25 and $3.99 Oct'26; B200 down only ~2% since CoreWeave's Rubin launch on Sep 30)</w:t>
      </w:r>
    </w:p>
    <w:p>
      <w:r>
        <w:rPr>
          <w:b/>
        </w:rPr>
        <w:t xml:space="preserve">Bull counterpoint. </w:t>
      </w:r>
      <w:r>
        <w:t>A100 and H100 history argue for long economic lives and resilient older-chip prices. Supply is tight. RPO of $37.5B (36% within 24 months) and the 45% take-or-pay share lock in near-term pricing. No misstatement has been found, and the life change is not a CAM.</w:t>
      </w:r>
    </w:p>
    <w:p>
      <w:r>
        <w:rPr>
          <w:b/>
        </w:rPr>
        <w:t xml:space="preserve">Watch. </w:t>
      </w:r>
      <w:r>
        <w:t>Reserved-book renewal timing vs page terms (bull/base/bear); Blackwell list and spot prices after Rubin GA (Dec'26–Mar'27); Nebius commit-discount wording; renewal pricing in the Q4'26 and Q1'27 letters; Q3 6-K D&amp;A / in-service ratio and capitalized interest.</w:t>
      </w:r>
    </w:p>
    <w:p>
      <w:pPr>
        <w:pStyle w:val="Heading1"/>
      </w:pPr>
      <w:r>
        <w:t>Five claims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Evidence needed</w:t>
            </w:r>
          </w:p>
        </w:tc>
        <w:tc>
          <w:tcPr>
            <w:tcW w:type="dxa" w:w="1728"/>
          </w:tcPr>
          <w:p>
            <w:r>
              <w:t>Timeline / kill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Microsoft: all 9 Vineland tranches are 'delivered' and billing (Aug 12 letter), vs a Q2 top customer of ~$140M/qtr, a genset ceiling that fits ~4 tranches, and Bloom under stop-construction.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 (ground truth: tranche-by-tranche delivery vs schedule; energized MW; Bloom permit) + Filings (definition of 'delivered' vs accepted vs billing; LDs; refund terms on ~$6.96B upfront)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6-K Sep 8 2025; 20-F Note 1; Q2 letter; Q2/Q3 customer %; deferred-revenue release; NJ permit docket; site imagery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posting Tue Oct 6; NJ permit ~early–mid Nov; Q3 print ~Nov 10. Confirm the bull case if Q3 top customer is ≥~$700M/qtr; the bear case if ≤~$390M (genset ceiling).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Capacity ramp: Capacity's base billing-MW path (305 MW YE26 / 1,069 MW YE27 energized) supports $12.3B FY27; the model says only the high case (or ~42 MW/qtr of unseen sites) does.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Billing-MW row (Tue); per-site energization; Q3 connected/active MW; Oklahoma and Minnesota 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Tue Oct 6 billing-MW row; Q3 print ~Nov 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[PARTLY ANSWERED] Pricing durability: on-demand + Token Factory is ~4% of revenue (answered). Still open: is the hike industry-wide or a cost pass-through, and has the commit discount widened?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GPU Market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Peer price pages; commit vs on-demand tables; A100/H100 decay curve for the residual value input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Thu Oct 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Filings (lead) + Capacity (energization dates) + GPU Market (time_to_deploy.xlsx Provider_Availability: H200 Oct'24, B200 Jun/Jul'25, GB300 Dec 17'25)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/workspace/nebius/filings/nebius_filings.xlsx Controls_Depreciation &amp; Guidance_Log; 20-F Item 15 p.85; Q1/Q2 Note 1/7; Q3 6-K Note 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Confirmed Oct 4; Q3 6-K ~Nov 10 (transfer test); FY26 20-F ~Apr 2027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Unit economics &amp; funding: the market needs a ~48% FY29+ yield on billing GPU capital (5-yr) vs ~31% in FY28 consensus, and the funding gap (base path capex: from Q4'27, −$0.15B YE27 / −$6.8B YE28; consensus capex: from Q2'27, −$9.9B / −$27.7B; start $14.6B) is met by prepayments and secured debt rather than equity.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Skeptic (this desk) with Modeling/Valuation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03_depreciation.xlsx v2 Reverse_DCF / Cohorts / Model; Q3 cash, debt, ATM; prepayment inflows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 v2 delivered Oct 4; refresh at Q3 print</w:t>
            </w:r>
          </w:p>
        </w:tc>
      </w:tr>
    </w:tbl>
    <w:p>
      <w:pPr>
        <w:pStyle w:val="Heading1"/>
      </w:pPr>
      <w:r>
        <w:t>Gaps / caveats</w:t>
      </w:r>
    </w:p>
    <w:p>
      <w:pPr>
        <w:pStyle w:val="ListBullet"/>
      </w:pPr>
      <w:r>
        <w:t>Q3'26 balance sheet not yet filed. Pro forma cash excludes Q3 burn (Q2 capex alone was $5.66B).</w:t>
      </w:r>
    </w:p>
    <w:p>
      <w:pPr>
        <w:pStyle w:val="ListBullet"/>
      </w:pPr>
      <w: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t>Capacity's billing-MW row lands Tue. Until then, billing MW = energized MW shifted by 1 quarter (2 tested).</w:t>
      </w:r>
    </w:p>
    <w:p>
      <w:pPr>
        <w:pStyle w:val="ListBullet"/>
      </w:pPr>
      <w:r>
        <w:t>Residual value uses A100 LIST-price evidence (−1.8%/yr default). Spot is roughly flat, and realized re-rent rates may be lower.</w:t>
      </w:r>
    </w:p>
    <w:p>
      <w:pPr>
        <w:pStyle w:val="ListBullet"/>
      </w:pPr>
      <w:r>
        <w:t>Base case uses path-consistent capex, with EBITDA held at consensus (flatters liquidity). The reverse-DCF figures in the hurdle section are on the consensus capex basis. On the path basis the implied FY29+ yield is 54/50/48% vs a 36% FY28 yield.</w:t>
      </w:r>
    </w:p>
    <w:p>
      <w:pPr>
        <w:pStyle w:val="ListBullet"/>
      </w:pPr>
      <w: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t>Probabilities are judgment. Expected values overlap and should not be summed.</w:t>
      </w:r>
    </w:p>
    <w:p>
      <w:r>
        <w:drawing>
          <wp:inline xmlns:a="http://schemas.openxmlformats.org/drawingml/2006/main" xmlns:pic="http://schemas.openxmlformats.org/drawingml/2006/picture">
            <wp:extent cx="5969000" cy="310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reverse_dcf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