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NBIS Bear Case Outline (Red Team), v3.5: ranked by impact</w:t>
      </w:r>
    </w:p>
    <w:p>
      <w:r>
        <w:t>*Nebius Skeptic for Aadit Prayag · Mon Oct 5, 2026 AM update · prices as of close Fri Oct 2, 2026 · v3.5 adds pitch thesis (two-reading fork, 22-mo payback as timing, Class A color) + peer-premium red-team · backups: 02_bear_outline_v3.4.* / _v3.3.* / …*</w:t>
      </w:r>
    </w:p>
    <w:p>
      <w:r>
        <w:t>Tags: R = Reported · D = Derived (math shown) · E = Estimated (method stated). Probabilities are Red Team judgment, not data. The $/share figures use EV $74.73B, 308.69M economic basic shares (271.86M issued + 15.77M Aug exchange + 21.07M NVIDIA pre-funded warrant; Filings CapStructure, reversal of Oct 4) and $242.81. Fully diluted is 381.5M.</w:t>
      </w:r>
    </w:p>
    <w:p>
      <w:pPr>
        <w:pStyle w:val="Heading2"/>
      </w:pPr>
      <w:r>
        <w:t>Pitch thesis (locked Mon Oct 5 AM with Modeling v0.8g)</w:t>
      </w:r>
    </w:p>
    <w:p>
      <w:r/>
      <w:r>
        <w:rPr>
          <w:b/>
        </w:rPr>
        <w:t>Short claim:</w:t>
      </w:r>
      <w:r>
        <w:t xml:space="preserve"> At $243 the Street and management underwrite either ~$26M+ per billed IT MW (against $14.5–16.2M comps) or more live billing MW than Capacity's high-case build/power path supports. Q3 (~Nov 10) is the first dated print.</w:t>
      </w:r>
    </w:p>
    <w:p>
      <w:pPr>
        <w:pStyle w:val="Heading3"/>
      </w:pPr>
      <w:r>
        <w:t>1. Two-reading fork</w:t>
      </w:r>
    </w:p>
    <w:p>
      <w:pPr>
        <w:pStyle w:val="ListBullet"/>
      </w:pPr>
      <w:r>
        <w:t>**Price reading (D):** Street FY27 ~$12.3B ÷ Capacity base ~475 avg billing MW ≈ **~$26M per billed IT MW**. Comps: Microsoft-style ~$14.5–16M; Anthropic–Nscale owned Rubin **$16.2M** (wholly owned Monarch campus, IT basis, Reported/Derived) (contract print only — Monarch WV civil-only / Grade Yellow for 460 MW by H1'28 per Peer KPIs; underwrite price from the S-1, not imagery). Vineland is ~187 of ~475 avg billed MW, so non-Microsoft MW must clear **~$30M+** (D; Capacity). Peer KPIs: Street also covers CRWV at **$11.3M**, IREN **$13.3–18.2M**, OCI **$14.4M** (caveats on OCI/IREN denominators) — NBIS at a ~60–130% premium to peers on the same Street coverage (D/E).</w:t>
      </w:r>
    </w:p>
    <w:p>
      <w:pPr>
        <w:pStyle w:val="ListBullet"/>
      </w:pPr>
      <w:r>
        <w:t>**MW reading (D/E):** At $16M comps, $12.3B needs **~769** avg billing MW in FY27 vs Capacity high-path **~645** (base ~475) — about a **19%** gap. Locked figures only: YE26 high billing **~284**, not the dropped ~350/~710 shortcuts.</w:t>
      </w:r>
    </w:p>
    <w:p>
      <w:pPr>
        <w:pStyle w:val="ListBullet"/>
      </w:pPr>
      <w:r>
        <w:t>**YE26 dated test (R/D):** Management's $7–9B run-rate guide (Dec AI cloud × 12) implies **$27–35M** on base 258 billing MW and **$25–32M** on high ~284. June was ~$16M on the site-count base (~183–193 MW). Token Factory ~1–4% of revenue and short-term evidence base ~5% (one signed $40M+ deal) cannot close the fork; ST share needed for the guide is ~14–79% depending on guide/MW (GPU Market YE26_Guide_Share).</w:t>
      </w:r>
    </w:p>
    <w:p>
      <w:pPr>
        <w:pStyle w:val="ListBullet"/>
      </w:pPr>
      <w:r>
        <w:t>**RPO coverage (Filings, Oct 5):** signed contracts cover only ~**55–61%** of Street FY27 $12.3B as of 6/30 (~$6.7–7.5B from the 0–24 month RPO bucket), leaving ~**$4.8–5.6B** still to sign — and that revenue needs MW not already in Capacity's existing-contract billing path (D/E).</w:t>
      </w:r>
    </w:p>
    <w:p>
      <w:pPr>
        <w:pStyle w:val="ListBullet"/>
      </w:pPr>
      <w:r>
        <w:t>**Slide label (Capacity):** YE26 is a **build path** (fit-out / racks / shells), not a pure power path. ~165 MW of the connected–energized gap is Vineland power not delivered (the exception). After YE27, owned Rubin campuses become a **power path**.</w:t>
      </w:r>
    </w:p>
    <w:p>
      <w:pPr>
        <w:pStyle w:val="Heading3"/>
      </w:pPr>
      <w:r>
        <w:t>2. Twenty-two-month payback is timing / definition, not unit economics</w:t>
      </w:r>
    </w:p>
    <w:p>
      <w:pPr>
        <w:pStyle w:val="ListBullet"/>
      </w:pPr>
      <w:r>
        <w:t>**Reported:** Q2 deals' expected payback is **1 year 10 months** (Q2'26 letter pp.3–4; CFO "less than two-year"). Footnote: forecast costs and contracted future capacity, including capacity not yet built. Nebius does **not** disclose the cash-credit schedule (Filings search, high confidence).</w:t>
      </w:r>
    </w:p>
    <w:p>
      <w:pPr>
        <w:pStyle w:val="ListBullet"/>
      </w:pPr>
      <w:r>
        <w:t>**Two lines (team lock Mon Oct 5):** (1) deferred-revenue **recognition** releases with delivery — Q2 math fits **even-from-go-live on delivered MW** (Capacity: Vineland T1–T4 ~107 IT MW; GPU Market: $130.8M ≈ 22.5% of Q2 revenue ≈ top-3 × ~40% prepay). Do **not** footnote deferred release as proof of back-loaded cash credit. (2) **Cash-credit timing** stays a labelled assumption only; it alone swings simple payback from ~20 months to ~5 years. NPV identical either way.</w:t>
      </w:r>
    </w:p>
    <w:p>
      <w:pPr>
        <w:pStyle w:val="ListBullet"/>
      </w:pPr>
      <w:r>
        <w:t>**So what for the slide:** management's 22 months is either a **net-capex financing definition** (prepay cuts invested capital at t=0) or racks well below $36.8M IT / ~$30.7M gross. Prepayments cut shares issued; they do not make the deal more profitable.</w:t>
      </w:r>
    </w:p>
    <w:p>
      <w:pPr>
        <w:pStyle w:val="ListBullet"/>
      </w:pPr>
      <w:r>
        <w:t>**Modeling v0.8f (5-yr view, 15% residual):** 3-year at $20M renewing at $16.5M for years 4–5 ≈ **near-zero NPV** at 11%. Flat 5-year at $16.5M is below stand-alone unit breakeven ~$18.5–19M; full-model build=stop breakeven $16.3–16.9M.</w:t>
      </w:r>
    </w:p>
    <w:p>
      <w:pPr>
        <w:pStyle w:val="Heading3"/>
      </w:pPr>
      <w:r>
        <w:t>3. Class A dissent — color only, not a catalyst</w:t>
      </w:r>
    </w:p>
    <w:p>
      <w:pPr>
        <w:pStyle w:val="ListBullet"/>
      </w:pPr>
      <w:r>
        <w:t>No-vote headroom ≈ **115M** shares (64.4M from the 20% AGM pool + 50.2M treasury) or ≈ **94M** if NVIDIA's 21.1M pre-funded warrant is still a claim on treasury (Filings correction; Reported/Derived).</w:t>
      </w:r>
    </w:p>
    <w:p>
      <w:pPr>
        <w:pStyle w:val="ListBullet"/>
      </w:pPr>
      <w:r>
        <w:t>Aug 25, 2026 AGM items 13/14 passed: Class A cast ~**35% against** issuance authority and ~**42% against** the pre-emptive rights waiver; Class B (~10 votes/share) decided. Dilution risk is the **price** new shares sell at, already in the model — not a governance block or dated vote catalyst.</w:t>
      </w:r>
    </w:p>
    <w:p>
      <w:pPr>
        <w:pStyle w:val="Heading2"/>
      </w:pPr>
      <w:r>
        <w:t>The hurdle (what's priced in)</w:t>
      </w:r>
    </w:p>
    <w:p>
      <w:pPr>
        <w:pStyle w:val="ListBullet"/>
      </w:pPr>
      <w:r>
        <w:t>Hurdle (D): EV $74.73B = 6.08x FY27 consensus revenue ($12.30B) and 11.1x FY27 adj. EBITDA ($6.73B). CoreWeave on the same ex-lease basis is 3.03x / 4.78x, so NBIS carries a ~+101% / ~+132% premium. At CRWV's EBITDA multiple, the stock would be ~$105/share (−57%). At CRWV's revenue multiple, ~$121 (−50%).</w:t>
      </w:r>
    </w:p>
    <w:p>
      <w:pPr>
        <w:pStyle w:val="ListBullet"/>
      </w:pPr>
      <w:r>
        <w:t>Rule of thumb (D): at a constant 6.08x, each $1B of FY27 revenue is worth ~$6.1B of EV, or ~$19.7/share.</w:t>
      </w:r>
    </w:p>
    <w:p>
      <w:pPr>
        <w:pStyle w:val="ListBullet"/>
      </w:pPr>
      <w:r>
        <w:t>Reverse DCF (E; 03_depreciation.xlsx v2 Reverse_DCF): the price requires a FY29+ EBITDA yield on gross BILLING GPU capital of ~48% at a 5-yr life (~52% at 4 yrs, ~45% at 6 yrs). On the same basis, FY28 consensus gives ~31% (27% on the v1 in-service basis). At 31%, the DCF EV is negative under every life (−$83B / −$52B / −$31B at 4/5/6 yrs). That holds even if FY29–30 capex halves each year (EV −$48B / −$23B / −$6B; implied yield 51/47/44%). FY28 consensus equals ~$11.0M of revenue and ~$6.7M of EBITDA per billing gross MW on Capacity's base MW path.</w:t>
      </w:r>
    </w:p>
    <w:p>
      <w:pPr>
        <w:pStyle w:val="ListBullet"/>
      </w:pPr>
      <w:r>
        <w:t>Cohort unit economics (E; 03_depreciation.xlsx v2 Cohorts; per gross MW; Capacity capex; 11% WACC). Project IRR at a 5-yr life, owned / leased: installed book ($12M, Hopper-era capex) 15% / 12%. Q2 deals $20M 22% / 23%. Q2 deals $25M 32% / 38%. Short-term &gt;$40M (1-yr, then re-rent on A100-evidence residuals) 22% / 24%. Microsoft at $11.6M/gross MW (300 MW basis) −5% (leased), and 15% if the contract covers only 200 MW. Prepayments (55% of capex) lift equity IRRs to ~25–75% for the non-Microsoft cohorts. So the economics depend on new-deal pricing, not on the installed book or on Microsoft.</w:t>
      </w:r>
    </w:p>
    <w:p>
      <w:pPr>
        <w:pStyle w:val="ListBullet"/>
      </w:pPr>
      <w:r>
        <w:t>Site model correction: Nebius is mostly leased, like CoreWeave (started leases $1,625M; $12.05B signed but not commenced). v1's 'owns more sites' framing is dropped. Leased sites need less capex (no shell) but pay rent of ~$2.0–2.5M per IT MW-year. At the Q2-deal ACV, leased-site project IRRs come out at or above owned-site IRRs.</w:t>
      </w:r>
    </w:p>
    <w:p>
      <w:pPr>
        <w:pStyle w:val="Heading2"/>
      </w:pPr>
      <w:r>
        <w:t>Ranked legs (expected $/share = impact × probability; overlapping, not additive)</w:t>
      </w:r>
    </w:p>
    <w:p>
      <w:r>
        <w:t>| # | Leg | Probability | Expected impact |</w:t>
      </w:r>
    </w:p>
    <w:p>
      <w:r>
        <w:t>|---|---|---|---|</w:t>
      </w:r>
    </w:p>
    <w:p>
      <w:r>
        <w:t>| 1 | Site execution / billing-MW ramp | 25% low / 50% base / 25% high (1-qtr lag) | ≈ −$46/share (E: 0.25×−104 + 0.5×−46 + 0.25×+11) |</w:t>
      </w:r>
    </w:p>
    <w:p>
      <w:r>
        <w:t>| 2 | Microsoft / Vineland | 35% bear timing (Bloom permit slips into 2027); 10% that T5–T9 are cancelled or re-cut | ≈ −$6/share incremental to leg 1 (E: 0.35×−11 + 0.10×−23); tail −$23 to −$69 |</w:t>
      </w:r>
    </w:p>
    <w:p>
      <w:r>
        <w:t>| 3 | Unit economics / ROIC | 35% that the realized fleet yield settles at ≤40% on billing capital | ≈ −$65/share (E). This overlaps with legs 1 and 7 (same yield equation), so they are not additive. |</w:t>
      </w:r>
    </w:p>
    <w:p>
      <w:r>
        <w:t>| 4 | Governance / controls &amp; earnings quality (raised; claim 4 CONFIRMED) | 15% | ≈ −$4/share (E) |</w:t>
      </w:r>
    </w:p>
    <w:p>
      <w:r>
        <w:t>| 5 | Dilution / refinancing | 70% | ≈ −$15/share (E: 0.7 × (−18 −3)) |</w:t>
      </w:r>
    </w:p>
    <w:p>
      <w:r>
        <w:t>| 6 | Meta #2 timing | 50% that ≥1 quarter slips | ≈ −$8/share (E; largely inside leg 1) |</w:t>
      </w:r>
    </w:p>
    <w:p>
      <w:r>
        <w:t>| 7 | Price cycle + earnings quality (re-ranked lower | 40% that a Blackwell price cycle of the base size materializes after Rubin GA | ≈ −$9/share (E: 0.4 × FY28 −$22). Overlaps with leg 3 (yield). Stays ranked LAST: past cycles show the older chip's price holding up (H100 median $3.44 Jun'25 and $3.99 Oct'26; B200 down only ~2% since CoreWeave's Rubin launch on Sep 30) |</w:t>
      </w:r>
    </w:p>
    <w:p>
      <w:pPr>
        <w:pStyle w:val="Heading2"/>
      </w:pPr>
      <w:r>
        <w:t>1. Site execution / billing-MW ramp: FY27 consensus needs Capacity's HIGH case</w:t>
      </w:r>
    </w:p>
    <w:p>
      <w:r/>
      <w:r>
        <w:rPr>
          <w:b/>
        </w:rPr>
        <w:t>Claim.</w:t>
      </w:r>
      <w:r>
        <w:t xml:space="preserve"> On Capacity's named-site quarterly energized MW (Quarterly MW tab: 185/305/424 MW at YE26 and 764/1,069/1,374 at YE27, low/base/high), shifted one quarter for connected-to-billing, FY27 revenue reaches $12.3B only in the high case. The guide is 800 MW–1 GW connected at YE26, last restated orally on the Aug 12 call.</w:t>
      </w:r>
    </w:p>
    <w:p>
      <w:r/>
      <w:r>
        <w:rPr>
          <w:b/>
        </w:rPr>
        <w:t>Evidence.</w:t>
      </w:r>
      <w:r/>
    </w:p>
    <w:p>
      <w:pPr>
        <w:pStyle w:val="ListBullet"/>
      </w:pPr>
      <w:r>
        <w:t>Capacity energized MW by site and quarter (E, /workspace/nebius/capacity/nebius_capacity.xlsx (Quarterly MW; Vineland tranche track) + site_verification.md). Sites without a stated basis are treated as gross. Vineland and AIB are IT MW (×1.25 to gross)</w:t>
      </w:r>
    </w:p>
    <w:p>
      <w:pPr>
        <w:pStyle w:val="ListBullet"/>
      </w:pPr>
      <w:r>
        <w:t>Filings: the 'few months' lag runs from connected power to revenue. The model uses 1 quarter by default and tests 2 (R/E, /workspace/nebius/filings/nebius_filings.xlsx)</w:t>
      </w:r>
    </w:p>
    <w:p>
      <w:pPr>
        <w:pStyle w:val="ListBullet"/>
      </w:pPr>
      <w:r>
        <w:t>Q2'26 calibration: ~134 MW non-Vineland billing × $12M/4 + Microsoft T1–T2 ≈ $595M vs $582.3M reported (D)</w:t>
      </w:r>
    </w:p>
    <w:p>
      <w:pPr>
        <w:pStyle w:val="ListBullet"/>
      </w:pPr>
      <w:r>
        <w:t>Pricing (R, Q2 letter https://www.sec.gov/Archives/edgar/data/1513845/000110465926094568/tm2622968d1_ex99-2.htm): installed book at $12M per gross MW-yr. Incremental MW at the $20–25M Q2-deal midpoint ($22.5M). Oct 1 hike applied to the ~4% on-demand + Token Factory share. Microsoft from the tranche schedule (leg 2)</w:t>
      </w:r>
    </w:p>
    <w:p>
      <w:r/>
      <w:r>
        <w:rPr>
          <w:b/>
        </w:rPr>
        <w:t>Quantification.</w:t>
      </w:r>
      <w:r>
        <w:t xml:space="preserve"> FY27 revenue (E, 03_depreciation.xlsx v2 Rev_MW; gap vs $12.3B; $/share at 6.08x): base $9.94B (−$2.36B, −$46). Low $7.01B (−$5.29B, −$104). High $12.86B (+$0.56B, +$11). Base with a 2-qtr lag $7.62B (−$92). Low + 2-qtr lag + Microsoft bear $5.16B (−$141). Unseen sites (Oklahoma and Minnesota are candidates): closing the base gap needs ~42 gross MW added every quarter from Q4'26 (~$56.7M of FY27 revenue per 1 MW/qtr). FY28 bottom-up ($25.3B base) is above consensus ($23.0B), so this is mostly a timing bear: 2027, not the end state.</w:t>
      </w:r>
    </w:p>
    <w:p>
      <w:r/>
      <w:r>
        <w:rPr>
          <w:b/>
        </w:rPr>
        <w:t>Probability / expected.</w:t>
      </w:r>
      <w:r>
        <w:t xml:space="preserve"> 25% low / 50% base / 25% high (1-qtr lag) → ≈ −$46/share (E: 0.25×−104 + 0.5×−46 + 0.25×+11)</w:t>
      </w:r>
    </w:p>
    <w:p>
      <w:r/>
      <w:r>
        <w:rPr>
          <w:b/>
        </w:rPr>
        <w:t>Bull counterpoint.</w:t>
      </w:r>
      <w:r>
        <w:t xml:space="preserve"> Management has beaten capacity goals before (contracted 5 GW vs &gt;4 GW). Undisclosed colo sites (Oklahoma, Minnesota, France 2nd, UK 3rd) could plug the gap, and short-term deals at &gt;$40M/MW monetize whatever comes online early.</w:t>
      </w:r>
    </w:p>
    <w:p>
      <w:r/>
      <w:r>
        <w:rPr>
          <w:b/>
        </w:rPr>
        <w:t>What would change our mind / watch.</w:t>
      </w:r>
      <w:r>
        <w:t xml:space="preserve"> Q3 letter connected/active MW (~Nov 10); Capacity's billing-MW row (Tue); energization events at Vineland (Bloom), Béthune, Independence, Birmingham and Kansas City.</w:t>
      </w:r>
    </w:p>
    <w:p>
      <w:pPr>
        <w:pStyle w:val="Heading2"/>
      </w:pPr>
      <w:r>
        <w:t>2. Microsoft / Vineland: a physical genset ceiling turns slippage into contract-value risk</w:t>
      </w:r>
    </w:p>
    <w:p>
      <w:r/>
      <w:r>
        <w:rPr>
          <w:b/>
        </w:rPr>
        <w:t>Claim.</w:t>
      </w:r>
      <w:r>
        <w:t xml:space="preserve"> Vineland is a leased build-to-suit site running on 62 rented gas generators (1.98 MW each, 122.9 MW gross ceiling) and ~5 MW of grid power. The Bloom fuel cells and LNG tank are under stop-construction orders (Aug 6/10). Until Bloom is live, only ~4 of 9 tranches fit (~27 MW IT each, equal-size assumption), which caps the book near ~$1.4–1.5B/yr (~$350–390M/qtr) vs ~$3.5B/yr fully delivered. Microsoft can cancel a tranche after a missed delivery date plus grace period if no alternative capacity is offered, and late delivery triggers liquidated damages.</w:t>
      </w:r>
    </w:p>
    <w:p>
      <w:r/>
      <w:r>
        <w:rPr>
          <w:b/>
        </w:rPr>
        <w:t>Evidence.</w:t>
      </w:r>
      <w:r/>
    </w:p>
    <w:p>
      <w:pPr>
        <w:pStyle w:val="ListBullet"/>
      </w:pPr>
      <w:r>
        <w:t>Contract (R, 6-K Sep 8 2025 https://www.sec.gov/Archives/edgar/data/1513845/000110465925088312/tm2525580d1_6k.htm; 20-F Note 1): 9 tranches, $17.39B owed regardless of use (take-or-pay), ~$6.96B upfront, billed through Oct-2031</w:t>
      </w:r>
    </w:p>
    <w:p>
      <w:pPr>
        <w:pStyle w:val="ListBullet"/>
      </w:pPr>
      <w:r>
        <w:t>Physical evidence (E, Capacity): est. live IT load ~33–45 MW at end-Q2 and ~57–75 MW in Q3. The NJ regulator's 45-day permit deadline falls in early-to-mid Nov</w:t>
      </w:r>
    </w:p>
    <w:p>
      <w:pPr>
        <w:pStyle w:val="ListBullet"/>
      </w:pPr>
      <w:r>
        <w:t>Capacity tranche track: T1–T4 within the genset ceiling. T5–T9 bill Q2–Q3'27 (base) or Q3'27–Q1'28 (bear)</w:t>
      </w:r>
    </w:p>
    <w:p>
      <w:pPr>
        <w:pStyle w:val="ListBullet"/>
      </w:pPr>
      <w:r>
        <w:t>CONFLICT: the Aug 12 letter says all tranches are delivered, yet the Q2 top customer was ~$140M/qtr (24% × $582.3M) vs ~$193M for T1+T2 at an equal split and ~$870M fully delivered</w:t>
      </w:r>
    </w:p>
    <w:p>
      <w:r/>
      <w:r>
        <w:rPr>
          <w:b/>
        </w:rPr>
        <w:t>Quantification.</w:t>
      </w:r>
      <w:r>
        <w:t xml:space="preserve"> (E, 03_depreciation.xlsx v2 Microsoft; equal split $96.6M/qtr per tranche; haircut = SLA/service credits + per-tranche termination, not demand). FY27 Microsoft revenue: 'all delivered' $3.48B · base $2.71B · bear $2.13B · T5–T9 cancelled $1.55B. FY27 total revenue vs base: bear −$0.58B (−$11/share); T5–T9 cancelled −$1.16B (−$23/share; −$69 vs consensus). PV of Microsoft revenue at 11%: $13.4B / $12.3B / $11.8B / $5.8B. Unit economics (Cohorts): at $11.6M/gross MW on GB300 leased capex (~$33M per gross MW), project IRR is ~−5% even at a 5-yr life. So the contract only works if it covers ~200 MW ($17.4M/MW, IRR 15%) or if Microsoft-related capex is far lower than Capacity's base.</w:t>
      </w:r>
    </w:p>
    <w:p>
      <w:r/>
      <w:r>
        <w:rPr>
          <w:b/>
        </w:rPr>
        <w:t>Probability / expected.</w:t>
      </w:r>
      <w:r>
        <w:t xml:space="preserve"> 35% bear timing (Bloom permit slips into 2027); 10% that T5–T9 are cancelled or re-cut → ≈ −$6/share incremental to leg 1 (E: 0.35×−11 + 0.10×−23); tail −$23 to −$69</w:t>
      </w:r>
    </w:p>
    <w:p>
      <w:r/>
      <w:r>
        <w:rPr>
          <w:b/>
        </w:rPr>
        <w:t>Bull counterpoint.</w:t>
      </w:r>
      <w:r>
        <w:t xml:space="preserve"> Take-or-pay once delivered. Nebius can offer alternative capacity to avoid cancellation. The grace periods on IREN's similar Microsoft contract ran into 2027. The ~$6.96B upfront has already funded the build.</w:t>
      </w:r>
    </w:p>
    <w:p>
      <w:r/>
      <w:r>
        <w:rPr>
          <w:b/>
        </w:rPr>
        <w:t>What would change our mind / watch.</w:t>
      </w:r>
      <w:r>
        <w:t xml:space="preserve"> NJ permit decision (early–mid Nov); Q3 top-customer % and deferred-revenue release; any 6-K on Vineland power; claim 1 below.</w:t>
      </w:r>
    </w:p>
    <w:p>
      <w:pPr>
        <w:pStyle w:val="Heading2"/>
      </w:pPr>
      <w:r>
        <w:t>3. Unit economics / ROIC: the price needs ~48% yield on billing capital vs ~31% in FY28 consensus</w:t>
      </w:r>
    </w:p>
    <w:p>
      <w:r/>
      <w:r>
        <w:rPr>
          <w:b/>
        </w:rPr>
        <w:t>Claim.</w:t>
      </w:r>
      <w:r>
        <w:t xml:space="preserve"> The equity case needs Q2-deal economics ($20–25M/MW) to hold across the whole fleet for the asset life. FY28 consensus itself implies only ~$11M of revenue per billing MW on Capacity's MW path, and the installed book and the Microsoft contract earn far less than new deals.</w:t>
      </w:r>
    </w:p>
    <w:p>
      <w:r/>
      <w:r>
        <w:rPr>
          <w:b/>
        </w:rPr>
        <w:t>Evidence.</w:t>
      </w:r>
      <w:r/>
    </w:p>
    <w:p>
      <w:pPr>
        <w:pStyle w:val="ListBullet"/>
      </w:pPr>
      <w:r>
        <w:t>ACV/MW: installed ~$12M; Q2 deals $20–25M, priced on forecast costs and including capacity not yet built; Q3 short-term &gt;$40M (R, https://www.sec.gov/Archives/edgar/data/1513845/000110465926094568/tm2622968d1_ex99-2.htm)</w:t>
      </w:r>
    </w:p>
    <w:p>
      <w:pPr>
        <w:pStyle w:val="ListBullet"/>
      </w:pPr>
      <w:r>
        <w:t>Billing-capital basis (Modeling pushback accepted): FY28 EBITDA $13.98B / avg billing GPU capital = 31.0% vs 27.2% in service (D, 03_depreciation.xlsx v2 Model)</w:t>
      </w:r>
    </w:p>
    <w:p>
      <w:pPr>
        <w:pStyle w:val="ListBullet"/>
      </w:pPr>
      <w:r>
        <w:t>Owned vs leased fleet: FY28 yield 33% if all-owned vs 29% if all-leased; market-implied 49% vs 41% at 5 yrs (E)</w:t>
      </w:r>
    </w:p>
    <w:p>
      <w:pPr>
        <w:pStyle w:val="ListBullet"/>
      </w:pPr>
      <w:r>
        <w:t>Prepayments: 70% of deals cover 50–60% of capex. That helps equity returns (not project returns) and is repaid through lower future cash revenue (R, /workspace/nebius/filings/nebius_fact_base.md)</w:t>
      </w:r>
    </w:p>
    <w:p>
      <w:r/>
      <w:r>
        <w:rPr>
          <w:b/>
        </w:rPr>
        <w:t>Quantification.</w:t>
      </w:r>
      <w:r>
        <w:t xml:space="preserve"> (E, 03_depreciation.xlsx v2 Reverse_DCF) Value gap at the FY28 billing yield: −$510 / −$410 / −$343 per share (4/5/6 yrs). The 48% (5-yr) breakeven compares with 2026 actuals of ~41% EBITDA margin on the installed book.</w:t>
      </w:r>
    </w:p>
    <w:p>
      <w:r/>
      <w:r>
        <w:rPr>
          <w:b/>
        </w:rPr>
        <w:t>Probability / expected.</w:t>
      </w:r>
      <w:r>
        <w:t xml:space="preserve"> 35% that the realized fleet yield settles at ≤40% on billing capital → ≈ −$65/share (E). This overlaps with legs 1 and 7 (same yield equation), so they are not additive.</w:t>
      </w:r>
    </w:p>
    <w:p>
      <w:r/>
      <w:r>
        <w:rPr>
          <w:b/>
        </w:rPr>
        <w:t>Bull counterpoint.</w:t>
      </w:r>
      <w:r>
        <w:t xml:space="preserve"> Q2/Q3 pricing is far above the installed book. Equity IRRs on prepaid deals run ~40–75%. Consensus FY28 revenue is below Capacity's base-case bottom-up ($25.3B).</w:t>
      </w:r>
    </w:p>
    <w:p>
      <w:r/>
      <w:r>
        <w:rPr>
          <w:b/>
        </w:rPr>
        <w:t>What would change our mind / watch.</w:t>
      </w:r>
      <w:r>
        <w:t xml:space="preserve"> Q3 ACV/MW on new deals; active-MW disclosure; prepayment inflows vs the &gt;$9B 2026 guide.</w:t>
      </w:r>
    </w:p>
    <w:p>
      <w:pPr>
        <w:pStyle w:val="Heading2"/>
      </w:pPr>
      <w:r>
        <w:t>4. Governance / controls &amp; earnings quality (raised; claim 4 CONFIRMED)</w:t>
      </w:r>
    </w:p>
    <w:p>
      <w:r/>
      <w:r>
        <w:rPr>
          <w:b/>
        </w:rPr>
        <w:t>Claim.</w:t>
      </w:r>
      <w:r>
        <w:t xml:space="preserve"> Both judgments that set D&amp;A are weak. Depreciation start dates sit on failed controls, and the life change came right after year-end in the company's favor. Separately, the Aug 12 letter said all Microsoft tranches were delivered while Vineland ran on unpermitted temporary power, and no 6-K discloses that.</w:t>
      </w:r>
    </w:p>
    <w:p>
      <w:r/>
      <w:r>
        <w:rPr>
          <w:b/>
        </w:rPr>
        <w:t>Evidence.</w:t>
      </w:r>
      <w:r/>
    </w:p>
    <w:p>
      <w:pPr>
        <w:pStyle w:val="ListBullet"/>
      </w:pPr>
      <w:r>
        <w:t>CONFIRMED (Filings, high confidence; /workspace/nebius/filings/nebius_filings.xlsx Controls_Depreciation): FY25 20-F Item 15 p.85 says ICFR is not effective. The weakness covers depreciation start dates and asset count. Second year running, with an adverse ICFR opinion from Reanda; remediation pushed to end-2026 (R, https://www.sec.gov/Archives/edgar/data/1513845/000110465926052948/nbis-20251231x20f.htm)</w:t>
      </w:r>
    </w:p>
    <w:p>
      <w:pPr>
        <w:pStyle w:val="ListBullet"/>
      </w:pPr>
      <w:r>
        <w:t>Earnings-quality dollars (R): the life change adds ~$43M a quarter ($167.6M FY26 guided). Capitalized interest was $15.7M in Q1 and $40.2M in Q2, vs $107.5M of gross convert interest in Q2. Together that is ~$83M of Q2 pre-tax benefit, vs $236.2M of adj. EBITDA</w:t>
      </w:r>
    </w:p>
    <w:p>
      <w:pPr>
        <w:pStyle w:val="ListBullet"/>
      </w:pPr>
      <w:r>
        <w:t>EBIT target: the 20–30% medium-term margin was framed in May 2025 'assuming a conservative depreciation schedule of four years', then reaffirmed on Feb 12 2026 without that caveat, on the same call that moved servers to 5 yrs (R, /workspace/nebius/filings/nebius_filings.xlsx Guidance_Log). On a 4-yr basis, FY27/FY28 consensus gives 7.4%/5.6% EBIT. The life change adds ~9.6/10.5 pts and still leaves 17.0%/16.1%, below the target (D)</w:t>
      </w:r>
    </w:p>
    <w:p>
      <w:pPr>
        <w:pStyle w:val="ListBullet"/>
      </w:pPr>
      <w:r>
        <w:t>Depreciation starting late: downgraded to untested-but-not-supported. In-service transfers were $1.78B in Q1 and $0.76B in Q2, with $7.84B not yet in use at 6/30. D&amp;A / avg in-service PP&amp;E ex-life-change is 21.6% (Q1) and 20.0% (Q2), consistent with 5-yr straight-line (Filings, Note 7)</w:t>
      </w:r>
    </w:p>
    <w:p>
      <w:pPr>
        <w:pStyle w:val="ListBullet"/>
      </w:pPr>
      <w:r>
        <w:t>Other: the CEO family trust holds Class B with ~52% of votes and ~11% of economics; the auditor moves from Reanda to Deloitte for FY26; NVIDIA is supplier and investor (21.07M pre-funded warrant). Andrey Korolenko is Chief Product &amp; Infrastructure Officer (not CFO)</w:t>
      </w:r>
    </w:p>
    <w:p>
      <w:r/>
      <w:r>
        <w:rPr>
          <w:b/>
        </w:rPr>
        <w:t>Quantification.</w:t>
      </w:r>
      <w:r>
        <w:t xml:space="preserve"> (E) A 10–15% de-rating on a restatement, a delayed 20-F or a tranche-disclosure issue ≈ −$24 to −$36/share.</w:t>
      </w:r>
    </w:p>
    <w:p>
      <w:r/>
      <w:r>
        <w:rPr>
          <w:b/>
        </w:rPr>
        <w:t>Probability / expected.</w:t>
      </w:r>
      <w:r>
        <w:t xml:space="preserve"> 15% → ≈ −$4/share (E)</w:t>
      </w:r>
    </w:p>
    <w:p>
      <w:r/>
      <w:r>
        <w:rPr>
          <w:b/>
        </w:rPr>
        <w:t>Bull counterpoint.</w:t>
      </w:r>
      <w:r>
        <w:t xml:space="preserve"> No misstatement has been found. The auditor did not make the life change a critical audit matter (the PP&amp;E CAM covers placed-in-use dates and capitalization). Moving to a Big-4 auditor is a positive.</w:t>
      </w:r>
    </w:p>
    <w:p>
      <w:r/>
      <w:r>
        <w:rPr>
          <w:b/>
        </w:rPr>
        <w:t>What would change our mind / watch.</w:t>
      </w:r>
      <w:r>
        <w:t xml:space="preserve"> Forward test: does Q3'26 show a large transfer to in-service after the Jul–Aug Vineland tranches? Q3 D&amp;A / in-service ex-change; any 6-K on Vineland power; FY26 20-F ICFR opinion.</w:t>
      </w:r>
    </w:p>
    <w:p>
      <w:pPr>
        <w:pStyle w:val="Heading2"/>
      </w:pPr>
      <w:r>
        <w:t>5. Dilution / refinancing: base-case funding gap opens in Q4'27 (path-consistent capex)</w:t>
      </w:r>
    </w:p>
    <w:p>
      <w:r/>
      <w:r>
        <w:rPr>
          <w:b/>
        </w:rPr>
        <w:t>Claim.</w:t>
      </w:r>
      <w:r>
        <w:t xml:space="preserve"> H2'26 is funded. v3.2 base case: capex follows Capacity's energized-MW path (owned and leased capex per IT MW by generation), not consensus. On that basis liquidity first goes negative in Q4'27 and the gap is ~$7B by YE28. Consensus capex ($29.1B FY27 / $38.9B FY28) buys MW faster than Capacity sees them energizing, and on that basis the gap opens in Q2'27. Either the funding gap or the revenue gap (leg 1) shows up.</w:t>
      </w:r>
    </w:p>
    <w:p>
      <w:r/>
      <w:r>
        <w:rPr>
          <w:b/>
        </w:rPr>
        <w:t>Evidence.</w:t>
      </w:r>
      <w:r/>
    </w:p>
    <w:p>
      <w:pPr>
        <w:pStyle w:val="ListBullet"/>
      </w:pPr>
      <w:r>
        <w:t>Starting liquidity $14,565M = 6/30 unrestricted cash $8.04B + Aug converts $5.75B + secured loan up to $0.775B. Prepayments are seeded from $5.98B of deferred revenue, and only new prepayments count as inflows (R/D, Filings)</w:t>
      </w:r>
    </w:p>
    <w:p>
      <w:pPr>
        <w:pStyle w:val="ListBullet"/>
      </w:pPr>
      <w:r>
        <w:t>Path-consistent capex (E, 03_depreciation.xlsx v2 Model; Capacity Quarterly MW). Owned: GB200 ~$42M / GB300 ~$53M / VR ~$43M per IT MW incl. ~$10–12.5M shell, spent 2 qtrs before energization. Leased, IT only: GB200 ~$30M / GB300 ~$41M / VR ~$32M per IT MW (Estimated, medium confidence, Capacity) plus rent of $2.0–2.5M per MW-yr. GPUs bought 1 qtr before billing</w:t>
      </w:r>
    </w:p>
    <w:p>
      <w:pPr>
        <w:pStyle w:val="ListBullet"/>
      </w:pPr>
      <w:r>
        <w:t>Zero-liquidity quarter / YE27 / YE28 (E). Path low: none by 2030 / +$7.1B / +$1.5B. PATH BASE: Q4'27 / −$0.15B / −$6.8B. Path high: Q3'27 / −$7.4B / −$15.6B. Consensus capex: Q2'27 / −$9.9B / −$27.7B. Expected YE27 ~−$1.5B / YE28 ~−$8.8B holds only if VR leased capex is priced like GB300 ($41M): −$1.45B / −$8.7B</w:t>
      </w:r>
    </w:p>
    <w:p>
      <w:pPr>
        <w:pStyle w:val="ListBullet"/>
      </w:pPr>
      <w:r>
        <w:t>Caveat: EBITDA is held at consensus on the path basis, which flatters liquidity (Capacity's base path supports only ~$9.9B of FY27 revenue)</w:t>
      </w:r>
    </w:p>
    <w:p>
      <w:pPr>
        <w:pStyle w:val="ListBullet"/>
      </w:pPr>
      <w:r>
        <w:t>Converts $13.43B, net-share settlement default, NO capped calls. Calls possible above 130% of conversion; the first is Dec 2026 for the leftover 2029s (R, Filings CapStructure)</w:t>
      </w:r>
    </w:p>
    <w:p>
      <w:pPr>
        <w:pStyle w:val="ListBullet"/>
      </w:pPr>
      <w:r>
        <w:t>FD at $242.81: 381.5M (RSUs 6.23M, options 4.28M on TSM, ITM converts 50.02M, ATM 12.27M). All converts regardless of price: 399.6M; net-share settlement 349.9M, needing ~$7.7B of cash (R/D)</w:t>
      </w:r>
    </w:p>
    <w:p>
      <w:r/>
      <w:r>
        <w:rPr>
          <w:b/>
        </w:rPr>
        <w:t>Quantification.</w:t>
      </w:r>
      <w:r>
        <w:t xml:space="preserve"> (D) At constant EV, crediting converted principal (~$7.68B ITM) and ATM proceeds (~$2.98B): ~$224/share on 381.5M (−$18, −8%). Funding the base-case YE28 gap (~$6.8B) with equity at a 20% discount ($194, ~35M shares) costs another ~$3/share. On consensus capex (YE28 −$27.7B, ~143M shares) it costs ~−$8/share. Dilution steps down as the price falls through $183 (2031/2033 tranches), $139 (2030/2032) and $51 (leftover 2029/2031).</w:t>
      </w:r>
    </w:p>
    <w:p>
      <w:r/>
      <w:r>
        <w:rPr>
          <w:b/>
        </w:rPr>
        <w:t>Probability / expected.</w:t>
      </w:r>
      <w:r>
        <w:t xml:space="preserve"> 70% → ≈ −$15/share (E: 0.7 × (−18 −3))</w:t>
      </w:r>
    </w:p>
    <w:p>
      <w:r/>
      <w:r>
        <w:rPr>
          <w:b/>
        </w:rPr>
        <w:t>Bull counterpoint.</w:t>
      </w:r>
      <w:r>
        <w:t xml:space="preserve"> Prepayments (&gt;$9B guided for 2026) and secured GPU financing reduce equity needs. NBIS's cost of debt is 5.1% vs CRWV's 8.4%. On Capacity's low path there is no gap through 2030.</w:t>
      </w:r>
    </w:p>
    <w:p>
      <w:r/>
      <w:r>
        <w:rPr>
          <w:b/>
        </w:rPr>
        <w:t>What would change our mind / watch.</w:t>
      </w:r>
      <w:r>
        <w:t xml:space="preserve"> Q3 cash and debt; ATM usage; any new convert or ABS in 2H27; Capacity's billing-MW row (Tue) to re-time the path.</w:t>
      </w:r>
    </w:p>
    <w:p>
      <w:pPr>
        <w:pStyle w:val="Heading2"/>
      </w:pPr>
      <w:r>
        <w:t>6. Meta #2 timing: no named site energizes in 1H27</w:t>
      </w:r>
    </w:p>
    <w:p>
      <w:r/>
      <w:r>
        <w:rPr>
          <w:b/>
        </w:rPr>
        <w:t>Claim.</w:t>
      </w:r>
      <w:r>
        <w:t xml:space="preserve"> Meta #2 ($12B firm on Vera Rubin, plus up to $15B backstop likely outside RPO) has tranches due 'throughout 1H27'. MAIN risk is site readiness: no named site energizes in 1H27 (Independence Q3'27, Birmingham 230kV Oct'27, Béthune slipping). SECONDARY risk is Vera Rubin timing: Nebius has only validated a first Vera Rubin rack (Jul 23) vs CoreWeave GA Sep 30. GPU Market's 2–6 month lag behind CoreWeave implies Nebius Rubin GA around Dec'26–Mar'27, still inside 1H27.</w:t>
      </w:r>
    </w:p>
    <w:p>
      <w:r/>
      <w:r>
        <w:rPr>
          <w:b/>
        </w:rPr>
        <w:t>Evidence.</w:t>
      </w:r>
      <w:r/>
    </w:p>
    <w:p>
      <w:pPr>
        <w:pStyle w:val="ListBullet"/>
      </w:pPr>
      <w:r>
        <w:t>Meta #2 terms (R, https://www.sec.gov/Archives/edgar/data/1513845/000110465926027886/tm268879d1_ex99-1.htm)</w:t>
      </w:r>
    </w:p>
    <w:p>
      <w:pPr>
        <w:pStyle w:val="ListBullet"/>
      </w:pPr>
      <w:r>
        <w:t>Site dates (E, /workspace/nebius/capacity/nebius_capacity.xlsx (Quarterly MW; Vineland tranche track) + site_verification.md)</w:t>
      </w:r>
    </w:p>
    <w:p>
      <w:pPr>
        <w:pStyle w:val="ListBullet"/>
      </w:pPr>
      <w:r>
        <w:t>Rubin validation (R, Nebius Jul 23) vs CRWV GA Sep 30 (R); lag estimate (E, GPU Market)</w:t>
      </w:r>
    </w:p>
    <w:p>
      <w:r/>
      <w:r>
        <w:rPr>
          <w:b/>
        </w:rPr>
        <w:t>Quantification.</w:t>
      </w:r>
      <w:r>
        <w:t xml:space="preserve"> (E) At ~$2.4B/yr when fully delivered, each quarter of slip removes ~$0.6B of run-rate revenue (~$12/share at 6.08x if it falls in FY27). Two quarters ≈ −$24/share. This overlaps with leg 1, since the slip shows up in the MW path.</w:t>
      </w:r>
    </w:p>
    <w:p>
      <w:r/>
      <w:r>
        <w:rPr>
          <w:b/>
        </w:rPr>
        <w:t>Probability / expected.</w:t>
      </w:r>
      <w:r>
        <w:t xml:space="preserve"> 50% that ≥1 quarter slips → ≈ −$8/share (E; largely inside leg 1)</w:t>
      </w:r>
    </w:p>
    <w:p>
      <w:r/>
      <w:r>
        <w:rPr>
          <w:b/>
        </w:rPr>
        <w:t>Bull counterpoint.</w:t>
      </w:r>
      <w:r>
        <w:t xml:space="preserve"> Meta could take capacity at colo/unseen sites. Termination needs a missed date plus grace period. Rubin GA timing is still inside 1H27.</w:t>
      </w:r>
    </w:p>
    <w:p>
      <w:r/>
      <w:r>
        <w:rPr>
          <w:b/>
        </w:rPr>
        <w:t>What would change our mind / watch.</w:t>
      </w:r>
      <w:r>
        <w:t xml:space="preserve"> Independence/Birmingham energization; Nebius Rubin GA announcement; Q3 RPO change.</w:t>
      </w:r>
    </w:p>
    <w:p>
      <w:pPr>
        <w:pStyle w:val="Heading2"/>
      </w:pPr>
      <w:r>
        <w:t>7. Price cycle + earnings quality (re-ranked lower: a short economic life is NOT supported)</w:t>
      </w:r>
    </w:p>
    <w:p>
      <w:r/>
      <w:r>
        <w:rPr>
          <w:b/>
        </w:rPr>
        <w:t>Claim.</w:t>
      </w:r>
      <w:r>
        <w:t xml:space="preserve"> v3.1 restatement: GPU Market's A100 evidence supports a 5–6 yr economic life, so the depreciation bear no longer rests on a short life. It rests on (i) a Blackwell price cycle after Rubin launches and (ii) earnings quality: the life change and capitalized interest flatter EBIT.</w:t>
      </w:r>
    </w:p>
    <w:p>
      <w:r/>
      <w:r>
        <w:rPr>
          <w:b/>
        </w:rPr>
        <w:t>Evidence.</w:t>
      </w:r>
      <w:r/>
    </w:p>
    <w:p>
      <w:pPr>
        <w:pStyle w:val="ListBullet"/>
      </w:pPr>
      <w:r>
        <w:t>A100 (launched Nov-20) still rents near list in year 6. Hyperscaler list fell only −1.8%/yr 2020–26. The neocloud composite ROSE +12%/yr ($1.23 → $2.00). The 80GB median went $1.87 → $2.50. Spot median is roughly flat. These are list prices (R, /workspace/nebius/market/gpu_price_history.xlsx A100_Decay)</w:t>
      </w:r>
    </w:p>
    <w:p>
      <w:pPr>
        <w:pStyle w:val="ListBullet"/>
      </w:pPr>
      <w:r>
        <w:t>Residual index in 03_depreciation.xlsx v2 now uses −1.8%/yr (0.91x at age 6) × 60% re-rent utilization. 6-yr vs 5-yr project IRR gains only ~1.5–3 pts per cohort, so life is not the swing factor (E)</w:t>
      </w:r>
    </w:p>
    <w:p>
      <w:pPr>
        <w:pStyle w:val="ListBullet"/>
      </w:pPr>
      <w:r>
        <w:t>Earnings quality (R, /workspace/nebius/filings/nebius_filings.xlsx Controls_Depreciation): the life change adds ~$43M/qtr ($167.6M FY26 guided; ~14% of Q2 D&amp;A). Capitalized interest was $15.7M Q1 and $40.2M Q2 vs $107.5M of gross convert interest. On a 4-yr basis, FY27/FY28 consensus EBIT margin is 7.4%/5.6% vs 17.0%/16.1% at 5 yrs (+9.6/+10.5 pts)</w:t>
      </w:r>
    </w:p>
    <w:p>
      <w:pPr>
        <w:pStyle w:val="ListBullet"/>
      </w:pPr>
      <w:r>
        <w:t>Revenue mix (GPU Market): take-or-pay 45% (not exposed), reserved ~50% (exposed as contracts renew), on-demand + Token Factory ~4% (fully exposed). The Oct 1 list hike (+17–21%) touches only ~4% of revenue (~+0.8%)</w:t>
      </w:r>
    </w:p>
    <w:p>
      <w:r/>
      <w:r>
        <w:rPr>
          <w:b/>
        </w:rPr>
        <w:t>Quantification.</w:t>
      </w:r>
      <w:r>
        <w:t xml:space="preserve"> Price cycle (E, 03_depreciation.xlsx v2 Rev_MW; v3.4 team reset). All scenarios: 50% of the reserved book renews within FY27, on our MW-path revenue build; on-demand fully exposed; take-or-pay not exposed; 5-yr life unchanged. Only the Blackwell $/GPU-hr cut varies, phased in over the 12 months after Rubin launches (Q1'27). FY27 revenue = EBITDA hit (MW-path / scaled to consensus): BULL 6.25% cut (midpoint of 0–12.5%) −$77M / −$95M. BASE 22% cut (H200 swing: neocloud median on-demand list $5.15 Dec'24 → $4.04 Sep'25) −$271M / −$336M (−5.0% of FY27 EBITDA, ≈ −$12/share at 11.1x). BEAR 31% cut (Nebius B200 at $8.50 closes its ~13% premium to the $7.49 median, then a 22% swing → ~$5.84) −$383M / −$474M. FY28 base −$1.29B (≈ −$22/share at 5.35x). Renewal timing comes from Nebius pricing-page terms, not a filing (Modeling's earlier schedule was a model assumption). The 39% H100 template is DROPPED: that was the launch premium coming off ($4.85 → $2.95 in 2024, before Blackwell), not a successor cutting the price.</w:t>
      </w:r>
    </w:p>
    <w:p>
      <w:r/>
      <w:r>
        <w:rPr>
          <w:b/>
        </w:rPr>
        <w:t>Probability / expected.</w:t>
      </w:r>
      <w:r>
        <w:t xml:space="preserve"> 40% that a Blackwell price cycle of the base size materializes after Rubin GA → ≈ −$9/share (E: 0.4 × FY28 −$22). Overlaps with leg 3 (yield). Stays ranked LAST: past cycles show the older chip's price holding up (H100 median $3.44 Jun'25 and $3.99 Oct'26; B200 down only ~2% since CoreWeave's Rubin launch on Sep 30)</w:t>
      </w:r>
    </w:p>
    <w:p>
      <w:r/>
      <w:r>
        <w:rPr>
          <w:b/>
        </w:rPr>
        <w:t>Bull counterpoint.</w:t>
      </w:r>
      <w:r>
        <w:t xml:space="preserve"> A100 and H100 history argue for long economic lives and resilient older-chip prices. Supply is tight. RPO of $37.5B (36% within 24 months) and take-or-pay (~Microsoft+Meta combined ≈45% of revenue; Microsoft alone ≈24–26% Q2 — Reported Note 2) lock in near-term pricing. No misstatement has been found, and the life change is not a CAM.</w:t>
      </w:r>
    </w:p>
    <w:p>
      <w:r/>
      <w:r>
        <w:rPr>
          <w:b/>
        </w:rPr>
        <w:t>What would change our mind / watch.</w:t>
      </w:r>
      <w:r>
        <w:t xml:space="preserve"> Reserved-book renewal timing vs page terms (bull/base/bear); Blackwell list and spot prices after Rubin GA (Dec'26–Mar'27); Nebius commit-discount wording; renewal pricing in the Q4'26 and Q1'27 letters; Q3 6-K D&amp;A / in-service ratio and capitalized interest.</w:t>
      </w:r>
    </w:p>
    <w:p>
      <w:pPr>
        <w:pStyle w:val="Heading2"/>
      </w:pPr>
      <w:r>
        <w:t>Five claims to test</w:t>
      </w:r>
    </w:p>
    <w:p>
      <w:r>
        <w:t>| # | Claim | Owner | Evidence needed | Timeline / kill criteria |</w:t>
      </w:r>
    </w:p>
    <w:p>
      <w:r>
        <w:t>|---|---|---|---|---|</w:t>
      </w:r>
    </w:p>
    <w:p>
      <w:r>
        <w:t>| 1 | [OPEN] Microsoft: Q2 letter says 'delivered all capacity tranches'; call clarifies 'up to date' / 'remaining' — Capacity: **4 of 9** live on gensets (~107 IT MW); T5–T9 wait on Bloom. Q2 top customer ~$140M/qtr vs genset ceiling. | Capacity &amp; Power (ground truth: tranche-by-tranche delivery vs schedule; energized MW; Bloom permit) + Filings (definition of 'delivered' vs accepted vs billing; LDs; refund terms on ~$6.96B upfront) | 6-K Sep 8 2025; 20-F Note 1; Q2 letter; Q2/Q3 customer %; deferred-revenue release; NJ permit docket; site imagery | Capacity posting Tue Oct 6; NJ permit ~early–mid Nov; Q3 print ~Nov 10. Confirm the bull case if Q3 top customer is ≥~$700M/qtr; the bear case if ≤~$390M (genset ceiling). |</w:t>
      </w:r>
    </w:p>
    <w:p>
      <w:r>
        <w:t>| 2 | [OPEN] Capacity ramp: Capacity's base billing-MW path (305 MW YE26 / 1,069 MW YE27 energized) supports $12.3B FY27; the model says only the high case (or ~42 MW/qtr of unseen sites) does. | Capacity &amp; Power | Billing-MW row (Tue); per-site energization; Q3 connected/active MW; Oklahoma and Minnesota MW | Tue Oct 6 billing-MW row; Q3 print ~Nov 10 |</w:t>
      </w:r>
    </w:p>
    <w:p>
      <w:r>
        <w:t>| 3 | [PARTLY ANSWERED] Pricing durability: on-demand + Token Factory is ~4% of revenue (answered). Still open: is the hike industry-wide or a cost pass-through, and has the commit discount widened? | GPU Market | Peer price pages; commit vs on-demand tables; A100/H100 decay curve for the residual value input | Thu Oct 8 |</w:t>
      </w:r>
    </w:p>
    <w:p>
      <w:r>
        <w:t>| 4 | [CONFIRMED, high confidence] Governance: D&amp;A rests on weak controls. ICFR is not effective for the 2nd year (adverse Reanda opinion; the weakness covers depreciation start dates and asset count; remediation end-2026), and the life change came right after year-end. Earnings-quality dollars: ~$43M/qtr from the life change ($167.6M FY26) plus capitalized interest ($15.7M Q1, $40.2M Q2). Test (a) [PENDING Filings confirming the note discloses it]: CIP-to-in-service transfers or the in-service/not-in-service split vs GB300 (Dec 17'25) and the Vineland tranche dates. Q1 $1.78B and Q2 $0.76B transferred; $7.84B not in use at 6/30. Forward test: a large Q3 transfer after the Jul–Aug tranches. Test (b) [RUN]: D&amp;A / avg in-service PP&amp;E with the life change removed (Q2 $302.7M, not $259.7M) = 21.6% Q1 and 20.0% Q2, consistent with 5-yr straight-line. So 'depreciation starts late' is downgraded to untested-but-not-supported. | Filings (lead) + Capacity (energization dates) + GPU Market (time_to_deploy.xlsx Provider_Availability: H200 Oct'24, B200 Jun/Jul'25, GB300 Dec 17'25) | /workspace/nebius/filings/nebius_filings.xlsx Controls_Depreciation &amp; Guidance_Log; 20-F Item 15 p.85; Q1/Q2 Note 1/7; Q3 6-K Note 7 | Confirmed Oct 4; Q3 6-K ~Nov 10 (transfer test); FY26 20-F ~Apr 2027 |</w:t>
      </w:r>
    </w:p>
    <w:p>
      <w:r>
        <w:t>| 5 | [OPEN] Unit economics &amp; funding: the market needs a ~48% FY29+ yield on billing GPU capital (5-yr) vs ~31% in FY28 consensus, and the funding gap (base path capex: from Q4'27, −$0.15B YE27 / −$6.8B YE28; consensus capex: from Q2'27, −$9.9B / −$27.7B; start $14.6B) is met by prepayments and secured debt rather than equity. | Skeptic (this desk) with Modeling/Valuation | 03_depreciation.xlsx v2 Reverse_DCF / Cohorts / Model; Q3 cash, debt, ATM; prepayment inflows | 03 v2 delivered Oct 4; refresh at Q3 print |</w:t>
      </w:r>
    </w:p>
    <w:p>
      <w:pPr>
        <w:pStyle w:val="Heading2"/>
      </w:pPr>
      <w:r>
        <w:t>Gaps / caveats</w:t>
      </w:r>
    </w:p>
    <w:p>
      <w:pPr>
        <w:pStyle w:val="ListBullet"/>
      </w:pPr>
      <w:r>
        <w:t>Q3'26 balance sheet not yet filed. Pro forma cash excludes Q3 burn (Q2 capex alone was $5.66B).</w:t>
      </w:r>
    </w:p>
    <w:p>
      <w:pPr>
        <w:pStyle w:val="ListBullet"/>
      </w:pPr>
      <w:r>
        <w:t>Microsoft tranche sizes are not disclosed (equal split assumed). The T1–T4 MW (~27 MW IT each) is Capacity's equal-size assumption.</w:t>
      </w:r>
    </w:p>
    <w:p>
      <w:pPr>
        <w:pStyle w:val="ListBullet"/>
      </w:pPr>
      <w:r>
        <w:t>Billing path locked (Capacity Wed tracker): base YE26 ~258 / FY27 avg ~475; high YE26 ~284 / FY27 avg ~645. 1-quarter lag. Drop ~350/~710 shortcuts.</w:t>
      </w:r>
    </w:p>
    <w:p>
      <w:pPr>
        <w:pStyle w:val="ListBullet"/>
      </w:pPr>
      <w:r>
        <w:t>Residual value uses A100 LIST-price evidence (−1.8%/yr default). Spot is roughly flat, and realized re-rent rates may be lower.</w:t>
      </w:r>
    </w:p>
    <w:p>
      <w:pPr>
        <w:pStyle w:val="ListBullet"/>
      </w:pPr>
      <w:r>
        <w:t>Base case uses path-consistent capex, with EBITDA held at consensus (flatters liquidity). The reverse-DCF figures in the hurdle section are on the consensus capex basis. On the path basis the implied FY29+ yield is 54/50/48% vs a 36% FY28 yield.</w:t>
      </w:r>
    </w:p>
    <w:p>
      <w:pPr>
        <w:pStyle w:val="ListBullet"/>
      </w:pPr>
      <w:r>
        <w:t>Capex per MW is Capacity's base case. Microsoft-related capex could differ materially (it drives the negative Microsoft cohort IRR).</w:t>
      </w:r>
    </w:p>
    <w:p>
      <w:pPr>
        <w:pStyle w:val="ListBullet"/>
      </w:pPr>
      <w:r>
        <w:t>Probabilities are judgment. Expected values overlap and should not be summed.</w:t>
      </w:r>
    </w:p>
    <w:p>
      <w:pPr>
        <w:pStyle w:val="Heading2"/>
      </w:pPr>
      <w:r>
        <w:t>Peer-premium red-team (try to break $26M vs $11–18M)</w:t>
      </w:r>
    </w:p>
    <w:p>
      <w:r>
        <w:t xml:space="preserve">Grok Bot asked whether any structural reason justifies Street's ~$26M/billed MW for NBIS vs peers it also covers at $11–18M. </w:t>
      </w:r>
      <w:r>
        <w:rPr>
          <w:b/>
        </w:rPr>
        <w:t>Honest attempts to break the exhibit:</w:t>
      </w:r>
      <w:r/>
    </w:p>
    <w:p>
      <w:r>
        <w:t>| Break attempt | Verdict |</w:t>
      </w:r>
    </w:p>
    <w:p>
      <w:r>
        <w:t>|---|---|</w:t>
      </w:r>
    </w:p>
    <w:p>
      <w:r>
        <w:t>| (a) MW basis mismatch (IT vs gross, billing vs energized, OCI cumulative/gross) | **Partial.** Footnote Oracle and any energized-average reads. Like-for-like set is **billed IT MW**. Does not erase NBIS vs CRWV/IREN on that basis. |</w:t>
      </w:r>
    </w:p>
    <w:p>
      <w:r>
        <w:t>| (b) CoreWeave realized $/MW is ramp-diluted (Peer KPIs: 1 − 0.52 × new/avg) so contracted ACV may sit closer to the $15–20M band | **Best bull pushback.** CRWV's $11.3M (or $7–8M active) is not the same as clearing price on new deals. Even so, observed **deal prints** for NBIS/peers still land at $14.5–16.2M (5–6 yr owned) to $20–22.5M (3-yr), not $26M blended — and incremental non-Microsoft MW must clear ~$30M+. |</w:t>
      </w:r>
    </w:p>
    <w:p>
      <w:r>
        <w:t>| (c) Undisclosed take-or-pay / software mix | **Weak.** TF ~1–4%; ST evidence ~5%. Revolut "&gt;200 H100 incl. Token Factory" suggests TF still uses Nebius GPUs. |</w:t>
      </w:r>
    </w:p>
    <w:p>
      <w:r>
        <w:t>| (d) Hopper scarcity / higher historical chip cost | **Wrong direction.** H100 OD $4.85→$4.50 (Mar'24–Oct'26); 2028–30 growth is mostly owned Rubin at the $16.2M Anthropic–Nscale print. |</w:t>
      </w:r>
    </w:p>
    <w:p>
      <w:r/>
      <w:r>
        <w:rPr>
          <w:b/>
        </w:rPr>
        <w:t>Conclusion (E, medium-high):</w:t>
      </w:r>
      <w:r>
        <w:t xml:space="preserve"> keep the Peer KPIs chart as the fourth slide line with basis footnotes. No structural premium supports sustainable ~2× CoreWeave from software or chip mix. The exhibit survives; the honest caveat is that CRWV's *implied* Street $/MW is partly ramp optics, while the *comp prints* still cap clearing prices well below $26M.</w:t>
      </w:r>
    </w:p>
    <w:p>
      <w:r>
        <w:t>Files: `01_priced_in.xlsx/.md`, `03_depreciation.xlsx`, `04_q3_decision_tree.md/.docx`, Modeling `judge_slide_v08g.docx`, Peer KPIs `peers/price_or_mw.xlsx`, `charts/03c_reverse_dcf_yield.png`.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