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Q3 Print Decision Tree (~Nov 10, 2026)</w:t>
      </w:r>
    </w:p>
    <w:p>
      <w:r>
        <w:rPr>
          <w:b w:val="0"/>
        </w:rPr>
        <w:t>*Nebius Skeptic · Mon Oct 5, 2026 · tags: R Reported · D Derived · E Estimated*</w:t>
      </w:r>
    </w:p>
    <w:p>
      <w:r>
        <w:rPr>
          <w:b/>
        </w:rPr>
        <w:t>Purpose:</w:t>
      </w:r>
      <w:r>
        <w:rPr>
          <w:b w:val="0"/>
        </w:rPr>
        <w:t xml:space="preserve"> Map the first dated catalyst for the two-reading fork. Overlaps with Vineland NJDEP genset deadline ~Nov 6 (Nov 9 if mailed).</w:t>
      </w:r>
    </w:p>
    <w:p>
      <w:pPr>
        <w:pStyle w:val="Heading2"/>
      </w:pPr>
      <w:r>
        <w:t>Inputs at the print</w:t>
      </w:r>
    </w:p>
    <w:p>
      <w:r>
        <w:rPr>
          <w:b w:val="0"/>
        </w:rPr>
        <w:t xml:space="preserve">1. Printed ARR / run-rate (Dec×12 definition if guided; else last-month × 12) — </w:t>
      </w:r>
      <w:r>
        <w:rPr>
          <w:b/>
        </w:rPr>
        <w:t>R</w:t>
      </w:r>
    </w:p>
    <w:p>
      <w:r>
        <w:rPr>
          <w:b w:val="0"/>
        </w:rPr>
        <w:t xml:space="preserve">2. Any connected / active / billing MW disclosure — </w:t>
      </w:r>
      <w:r>
        <w:rPr>
          <w:b/>
        </w:rPr>
        <w:t>R</w:t>
      </w:r>
      <w:r>
        <w:rPr>
          <w:b w:val="0"/>
        </w:rPr>
        <w:t xml:space="preserve"> if given, else Capacity path </w:t>
      </w:r>
      <w:r>
        <w:rPr>
          <w:b/>
        </w:rPr>
        <w:t>E</w:t>
      </w:r>
    </w:p>
    <w:p>
      <w:r>
        <w:rPr>
          <w:b w:val="0"/>
        </w:rPr>
        <w:t xml:space="preserve">3. New-deal ACV language and short-term deal count / share — </w:t>
      </w:r>
      <w:r>
        <w:rPr>
          <w:b/>
        </w:rPr>
        <w:t>R/E</w:t>
      </w:r>
    </w:p>
    <w:p>
      <w:r>
        <w:rPr>
          <w:b w:val="0"/>
        </w:rPr>
        <w:t xml:space="preserve">4. YE26 $7–9B guide: reaffirmed, raised, cut, or silent — </w:t>
      </w:r>
      <w:r>
        <w:rPr>
          <w:b/>
        </w:rPr>
        <w:t>R</w:t>
      </w:r>
    </w:p>
    <w:p>
      <w:r>
        <w:rPr>
          <w:b/>
        </w:rPr>
        <w:t>Compute (E):</w:t>
      </w:r>
      <w:r>
        <w:rPr>
          <w:b w:val="0"/>
        </w:rPr>
        <w:t xml:space="preserve"> implied $/billed MW = printed ARR ÷ estimated billing MW.</w:t>
      </w:r>
    </w:p>
    <w:p>
      <w:pPr>
        <w:pStyle w:val="ListBullet"/>
      </w:pPr>
      <w:r>
        <w:rPr>
          <w:b w:val="0"/>
        </w:rPr>
        <w:t xml:space="preserve">Mid-Q3 billing path ≈ </w:t>
      </w:r>
      <w:r>
        <w:rPr>
          <w:b/>
        </w:rPr>
        <w:t>220–250 MW</w:t>
      </w:r>
      <w:r>
        <w:rPr>
          <w:b w:val="0"/>
        </w:rPr>
        <w:t xml:space="preserve"> (Capacity; between YE26 base 258 exit and Q2 ~183–193).</w:t>
      </w:r>
    </w:p>
    <w:p>
      <w:pPr>
        <w:pStyle w:val="ListBullet"/>
      </w:pPr>
      <w:r>
        <w:rPr>
          <w:b w:val="0"/>
        </w:rPr>
        <w:t>If Nebius discloses active/connected MW, convert with Capacity's 1-quarter billing lag before treating as billed.</w:t>
      </w:r>
    </w:p>
    <w:p>
      <w:pPr>
        <w:pStyle w:val="Heading2"/>
      </w:pPr>
      <w:r>
        <w:t>Decision tree</w:t>
      </w:r>
    </w:p>
    <w:p>
      <w:r>
        <w:rPr>
          <w:b w:val="0"/>
        </w:rPr>
        <w:t>```</w:t>
      </w:r>
    </w:p>
    <w:p>
      <w:r>
        <w:rPr>
          <w:b w:val="0"/>
        </w:rPr>
        <w:t>Q3 print</w:t>
      </w:r>
    </w:p>
    <w:p>
      <w:r>
        <w:rPr>
          <w:b w:val="0"/>
        </w:rPr>
        <w:t xml:space="preserve"> ├─ implied $/MW ≥ ~$24M on Capacity MW</w:t>
      </w:r>
    </w:p>
    <w:p>
      <w:r>
        <w:rPr>
          <w:b w:val="0"/>
        </w:rPr>
        <w:t xml:space="preserve"> │    OR disclosed new-deal ACV ≥ $20M on material MW</w:t>
      </w:r>
    </w:p>
    <w:p>
      <w:r>
        <w:rPr>
          <w:b w:val="0"/>
        </w:rPr>
        <w:t xml:space="preserve"> │    OR ST share evidenceably ≥ ~15% of fleet</w:t>
      </w:r>
    </w:p>
    <w:p>
      <w:r>
        <w:rPr>
          <w:b w:val="0"/>
        </w:rPr>
        <w:t xml:space="preserve"> │         → BRANCH A: PRICE PRINT (hurts short / pauses)</w:t>
      </w:r>
    </w:p>
    <w:p>
      <w:r>
        <w:rPr>
          <w:b w:val="0"/>
        </w:rPr>
        <w:t xml:space="preserve"> │</w:t>
      </w:r>
    </w:p>
    <w:p>
      <w:r>
        <w:rPr>
          <w:b w:val="0"/>
        </w:rPr>
        <w:t xml:space="preserve"> ├─ $7–9B YE26 guide cut or dropped</w:t>
      </w:r>
    </w:p>
    <w:p>
      <w:r>
        <w:rPr>
          <w:b w:val="0"/>
        </w:rPr>
        <w:t xml:space="preserve"> │    while $/MW stays ~$16–20M</w:t>
      </w:r>
    </w:p>
    <w:p>
      <w:r>
        <w:rPr>
          <w:b w:val="0"/>
        </w:rPr>
        <w:t xml:space="preserve"> │         → BRANCH B: GUIDE CUT (short catalyst)</w:t>
      </w:r>
    </w:p>
    <w:p>
      <w:r>
        <w:rPr>
          <w:b w:val="0"/>
        </w:rPr>
        <w:t xml:space="preserve"> │</w:t>
      </w:r>
    </w:p>
    <w:p>
      <w:r>
        <w:rPr>
          <w:b w:val="0"/>
        </w:rPr>
        <w:t xml:space="preserve"> ├─ guide stands AND $/MW near ~$16M</w:t>
      </w:r>
    </w:p>
    <w:p>
      <w:r>
        <w:rPr>
          <w:b w:val="0"/>
        </w:rPr>
        <w:t xml:space="preserve"> │         → BRANCH C: MW MISS / GUIDE STRESS (short helps)</w:t>
      </w:r>
    </w:p>
    <w:p>
      <w:r>
        <w:rPr>
          <w:b w:val="0"/>
        </w:rPr>
        <w:t xml:space="preserve"> │              needs ~150–180 MW extra YE26 billing</w:t>
      </w:r>
    </w:p>
    <w:p>
      <w:r>
        <w:rPr>
          <w:b w:val="0"/>
        </w:rPr>
        <w:t xml:space="preserve"> │              OR ~40% ST share vs ~5% evidence base</w:t>
      </w:r>
    </w:p>
    <w:p>
      <w:r>
        <w:rPr>
          <w:b w:val="0"/>
        </w:rPr>
        <w:t xml:space="preserve"> │</w:t>
      </w:r>
    </w:p>
    <w:p>
      <w:r>
        <w:rPr>
          <w:b w:val="0"/>
        </w:rPr>
        <w:t xml:space="preserve"> └─ guide stands, $/MW mid (~$18–23M), MW thin</w:t>
      </w:r>
    </w:p>
    <w:p>
      <w:r>
        <w:rPr>
          <w:b w:val="0"/>
        </w:rPr>
        <w:t xml:space="preserve">          → BRANCH D: AMBIGUOUS (hold short, lower conviction; wait Q4)</w:t>
      </w:r>
    </w:p>
    <w:p>
      <w:r>
        <w:rPr>
          <w:b w:val="0"/>
        </w:rPr>
        <w:t>```</w:t>
      </w:r>
    </w:p>
    <w:p>
      <w:pPr>
        <w:pStyle w:val="Heading3"/>
      </w:pPr>
      <w:r>
        <w:t>Branch A — Price print</w:t>
      </w:r>
    </w:p>
    <w:p>
      <w:r>
        <w:rPr>
          <w:b w:val="0"/>
        </w:rPr>
        <w:t xml:space="preserve">Street's price reading starts to look earned. Confirm with: (i) term length (3-yr vs 5-yr), (ii) whether ACV is per IT or gross MW, (iii) ST share vs mid-term. If the print is mostly short-term $40M+ on a small MW slice, do </w:t>
      </w:r>
      <w:r>
        <w:rPr>
          <w:b/>
        </w:rPr>
        <w:t>not</w:t>
      </w:r>
      <w:r>
        <w:rPr>
          <w:b w:val="0"/>
        </w:rPr>
        <w:t xml:space="preserve"> treat as fleet clearing price — re-enter Branch D. Kill criteria for the short's price leg: sustained mid-term ACV ≥ $22M on ≥100 MW of new deals.</w:t>
      </w:r>
    </w:p>
    <w:p>
      <w:pPr>
        <w:pStyle w:val="Heading3"/>
      </w:pPr>
      <w:r>
        <w:t>Branch B — Guide cut</w:t>
      </w:r>
    </w:p>
    <w:p>
      <w:r>
        <w:rPr>
          <w:b w:val="0"/>
        </w:rPr>
        <w:t>Strongest near-term short catalyst. Pair with Modeling PT under stop-building / $16M comps. Watch whether management blames power, fit-out, or demand.</w:t>
      </w:r>
    </w:p>
    <w:p>
      <w:pPr>
        <w:pStyle w:val="Heading3"/>
      </w:pPr>
      <w:r>
        <w:t>Branch C — MW miss / guide stress</w:t>
      </w:r>
    </w:p>
    <w:p>
      <w:r>
        <w:rPr>
          <w:b w:val="0"/>
        </w:rPr>
        <w:t xml:space="preserve">Same fork as the YE26 Q&amp;A (Filings), now with the RPO overlay: ~$5B of FY27 Street still unsigned as of 6/30. Either undisclosed colo MW / new deals appear (weakens the MW reading — update Capacity tracker) or the guide fails at YE26. GPU Market: ST share required for $7–9B is </w:t>
      </w:r>
      <w:r>
        <w:rPr>
          <w:b/>
        </w:rPr>
        <w:t>14–79%</w:t>
      </w:r>
      <w:r>
        <w:rPr>
          <w:b w:val="0"/>
        </w:rPr>
        <w:t xml:space="preserve"> on 258/284 MW paths; evidence base </w:t>
      </w:r>
      <w:r>
        <w:rPr>
          <w:b/>
        </w:rPr>
        <w:t>~5%</w:t>
      </w:r>
      <w:r>
        <w:rPr>
          <w:b w:val="0"/>
        </w:rPr>
        <w:t>. Token Factory ~1–4% cannot substitute.</w:t>
      </w:r>
    </w:p>
    <w:p>
      <w:pPr>
        <w:pStyle w:val="Heading3"/>
      </w:pPr>
      <w:r>
        <w:t>Branch D — Ambiguous</w:t>
      </w:r>
    </w:p>
    <w:p>
      <w:r>
        <w:rPr>
          <w:b w:val="0"/>
        </w:rPr>
        <w:t>Default if disclosures are sparse. Keep dual-reading slide; reduce position sizing language for the pitch. Re-test at Q4 (~Feb 2027) run-rate.</w:t>
      </w:r>
    </w:p>
    <w:p>
      <w:pPr>
        <w:pStyle w:val="Heading2"/>
      </w:pPr>
      <w:r>
        <w:t>Overlapping catalyst: Vineland</w:t>
      </w:r>
    </w:p>
    <w:p>
      <w:pPr>
        <w:pStyle w:val="ListBullet"/>
      </w:pPr>
      <w:r>
        <w:rPr>
          <w:b/>
        </w:rPr>
        <w:t>~Nov 6 NJDEP</w:t>
      </w:r>
      <w:r>
        <w:rPr>
          <w:b w:val="0"/>
        </w:rPr>
        <w:t xml:space="preserve"> generator filing deadline (Capacity `vineland_watch.md`). Case B (two-quarter Bloom slip): −$966M of 2027 revenue mostly shifted into 2028 (Capacity judgment). Does not by itself decide Branches A–D but strengthens the </w:t>
      </w:r>
      <w:r>
        <w:rPr>
          <w:b/>
        </w:rPr>
        <w:t>build/power path</w:t>
      </w:r>
      <w:r>
        <w:rPr>
          <w:b w:val="0"/>
        </w:rPr>
        <w:t xml:space="preserve"> reading if Bloom slips while the $7–9B guide stands.</w:t>
      </w:r>
    </w:p>
    <w:p>
      <w:pPr>
        <w:pStyle w:val="Heading2"/>
      </w:pPr>
      <w:r>
        <w:t>Overlays locked Mon Oct 5 (post v0.9)</w:t>
      </w:r>
    </w:p>
    <w:p>
      <w:pPr>
        <w:pStyle w:val="ListBullet"/>
      </w:pPr>
      <w:r>
        <w:rPr>
          <w:b/>
        </w:rPr>
        <w:t>RPO unsigned gap (Filings):</w:t>
      </w:r>
      <w:r>
        <w:rPr>
          <w:b w:val="0"/>
        </w:rPr>
        <w:t xml:space="preserve"> signed contracts cover only ~</w:t>
      </w:r>
      <w:r>
        <w:rPr>
          <w:b/>
        </w:rPr>
        <w:t>55–61%</w:t>
      </w:r>
      <w:r>
        <w:rPr>
          <w:b w:val="0"/>
        </w:rPr>
        <w:t xml:space="preserve"> of Street FY27 $12.3B as of 6/30 (~$6.7–7.5B from the 0–24 month bucket), leaving ~</w:t>
      </w:r>
      <w:r>
        <w:rPr>
          <w:b/>
        </w:rPr>
        <w:t>$4.8–5.6B</w:t>
      </w:r>
      <w:r>
        <w:rPr>
          <w:b w:val="0"/>
        </w:rPr>
        <w:t xml:space="preserve"> still to sign. That revenue needs MW not already in Capacity's existing-contract billing. Short-term and on-demand can fill part (RPO excludes ≤1-year contracts by definition).</w:t>
      </w:r>
    </w:p>
    <w:p>
      <w:pPr>
        <w:pStyle w:val="ListBullet"/>
      </w:pPr>
      <w:r>
        <w:rPr>
          <w:b/>
        </w:rPr>
        <w:t>Microsoft Vineland language (Capacity):</w:t>
      </w:r>
      <w:r>
        <w:rPr>
          <w:b w:val="0"/>
        </w:rPr>
        <w:t xml:space="preserve"> Q2 letter "delivered all…tranches" + call "up to date" / "remaining" = </w:t>
      </w:r>
      <w:r>
        <w:rPr>
          <w:b/>
        </w:rPr>
        <w:t>4 of 9</w:t>
      </w:r>
      <w:r>
        <w:rPr>
          <w:b w:val="0"/>
        </w:rPr>
        <w:t xml:space="preserve"> live on gensets (~107 IT MW equal-split E); </w:t>
      </w:r>
      <w:r>
        <w:rPr>
          <w:b/>
        </w:rPr>
        <w:t>T5–T9 wait on Bloom</w:t>
      </w:r>
      <w:r>
        <w:rPr>
          <w:b w:val="0"/>
        </w:rPr>
        <w:t>. Do not cite the letter alone in front of a judge.</w:t>
      </w:r>
    </w:p>
    <w:p>
      <w:pPr>
        <w:pStyle w:val="ListBullet"/>
      </w:pPr>
      <w:r>
        <w:rPr>
          <w:b/>
        </w:rPr>
        <w:t>Payback two lines (Modeling v0.9):</w:t>
      </w:r>
      <w:r>
        <w:rPr>
          <w:b w:val="0"/>
        </w:rPr>
        <w:t xml:space="preserve"> deferred recognition = even-from-go-live on delivered MW; cash-credit timing = labelled assumption only. Do not use deferred release to "prove" the 22-month figure.</w:t>
      </w:r>
    </w:p>
    <w:p>
      <w:pPr>
        <w:pStyle w:val="ListBullet"/>
      </w:pPr>
      <w:r>
        <w:rPr>
          <w:b/>
        </w:rPr>
        <w:t>Monarch footnote:</w:t>
      </w:r>
      <w:r>
        <w:rPr>
          <w:b w:val="0"/>
        </w:rPr>
        <w:t xml:space="preserve"> Anthropic–Nscale </w:t>
      </w:r>
      <w:r>
        <w:rPr>
          <w:b/>
        </w:rPr>
        <w:t>$16.2M</w:t>
      </w:r>
      <w:r>
        <w:rPr>
          <w:b w:val="0"/>
        </w:rPr>
        <w:t xml:space="preserve"> is a contract print; campus civil-only / Grade Yellow for 460 MW by H1'28 — underwrite price, not imagery.</w:t>
      </w:r>
    </w:p>
    <w:p>
      <w:pPr>
        <w:pStyle w:val="Heading2"/>
      </w:pPr>
      <w:r>
        <w:t>Pitch one-liner after Q3</w:t>
      </w:r>
    </w:p>
    <w:p>
      <w:pPr>
        <w:pStyle w:val="ListBullet"/>
      </w:pPr>
      <w:r>
        <w:rPr>
          <w:b w:val="0"/>
        </w:rPr>
        <w:t>A or clear MW beat → revisit short; may become avoid.</w:t>
      </w:r>
    </w:p>
    <w:p>
      <w:pPr>
        <w:pStyle w:val="ListBullet"/>
      </w:pPr>
      <w:r>
        <w:rPr>
          <w:b w:val="0"/>
        </w:rPr>
        <w:t>B or C → short thesis confirmed on management's own numbers.</w:t>
      </w:r>
    </w:p>
    <w:p>
      <w:pPr>
        <w:pStyle w:val="ListBullet"/>
      </w:pPr>
      <w:r>
        <w:rPr>
          <w:b w:val="0"/>
        </w:rPr>
        <w:t>D → short with the peer-premium chart ($26M vs $11–18M) as the main exhibit until Q4.</w:t>
      </w:r>
    </w:p>
    <w:p>
      <w:r>
        <w:rPr>
          <w:b w:val="0"/>
        </w:rPr>
        <w:t>Sources: Filings `qa_ye26_arr_price_or_mw_fork`; Capacity billing lock + `site_tracker_wed`; GPU Market `YE26_Guide_Share` + Mix_Estimate; Modeling judge_slide v0.8g; Peer KPIs `price_or_mw.xlsx`.</w:t>
      </w:r>
    </w:p>
    <w:p>
      <w:pPr>
        <w:pStyle w:val="Heading2"/>
      </w:pPr>
      <w:r>
        <w:t>Watch date added Oct 9 AM (watch only, not a cover or confirm trigger)</w:t>
      </w:r>
    </w:p>
    <w:p>
      <w:pPr>
        <w:pStyle w:val="ListBullet"/>
      </w:pPr>
      <w:r>
        <w:rPr>
          <w:b/>
        </w:rPr>
        <w:t>Oct 12–15: DataOne's NJDEP hearing-request window</w:t>
      </w:r>
      <w:r>
        <w:rPr>
          <w:b w:val="0"/>
        </w:rPr>
        <w:t xml:space="preserve"> on the Sep 22 genset order (20 days). If DataOne requests a hearing, genset permitting likely slows, which helps the short, but it does not trip a kill/cover line. Capacity rechecks Wed Oct 15. The genset air-permit filing deadline is still ~early to mid Nov (45 days) [E].</w:t>
      </w:r>
    </w:p>
    <w:p>
      <w:pPr>
        <w:pStyle w:val="ListBullet"/>
      </w:pPr>
      <w:r>
        <w:rPr>
          <w:b/>
        </w:rPr>
        <w:t>Q3 date tell is neutral:</w:t>
      </w:r>
      <w:r>
        <w:rPr>
          <w:b w:val="0"/>
        </w:rPr>
        <w:t xml:space="preserve"> last year's Q3 date release came Oct 22 for Nov 11 results, and Q1/Q2'26 releases came 12–14 days before results [R, Filings]. Don't call the date "late" before ~Oct 21–29, and don't read it as bearish even then.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