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v0.9a Pressure Test + Dilution + Peer Chart Red-Team</w:t>
      </w:r>
    </w:p>
    <w:p>
      <w:r>
        <w:t>*Nebius Skeptic · Mon Oct 5, 2026 ~10:40 AM ET · tags: R Reported · D Derived · E Estimated*</w:t>
      </w:r>
    </w:p>
    <w:p>
      <w:pPr>
        <w:pStyle w:val="Heading2"/>
      </w:pPr>
      <w:r>
        <w:t>1. What would break the short if Aadit stays long?</w:t>
      </w:r>
    </w:p>
    <w:p>
      <w:r>
        <w:t xml:space="preserve">The short is: Street/management underwrite ~$26M+ per billed MW (or MW above Capacity's high path) against $14.5–16.2M comps. </w:t>
      </w:r>
      <w:r>
        <w:rPr>
          <w:b/>
        </w:rPr>
        <w:t>Kill criteria — any one is enough to pause or flip:</w:t>
      </w:r>
      <w:r/>
    </w:p>
    <w:p>
      <w:r>
        <w:t>| # | Break condition | How we'd know | Effect |</w:t>
      </w:r>
    </w:p>
    <w:p>
      <w:r>
        <w:t>|---|---|---|---|</w:t>
      </w:r>
    </w:p>
    <w:p>
      <w:r>
        <w:t>| 1 | **Sustained mid-term ACV ≥ ~$22–24M** on material new MW (not just $40M short-term on a thin slice) | Q3/Q4 letter deal language + deferred build | Price reading fails; short → avoid |</w:t>
      </w:r>
    </w:p>
    <w:p>
      <w:r>
        <w:t>| 2 | **YE26 billing MW well above high path (~284)** — undisclosed colos / faster fit-out | Q3 connected/active + Capacity tracker revision | MW reading fails; guide reachable at ~$16–20M |</w:t>
      </w:r>
    </w:p>
    <w:p>
      <w:r>
        <w:t>| 3 | **Owned Rubin clears ≥ $19.6M** on 5–6 yr terms (above Modeling stand-alone breakeven) | Meta #2 MW disclosed, or second owned-Rubin print | Main unit-econ driver softens |</w:t>
      </w:r>
    </w:p>
    <w:p>
      <w:r>
        <w:t>| 4 | **Prepay pace holds ~$1.2B/qtr through 2027** *and* ABS fills the funding gap without issuing into a dying stock | Q3 deferred additions; new secured facilities | Stop-building / dilution legs weaken; still need $/MW for the Street multiple |</w:t>
      </w:r>
    </w:p>
    <w:p>
      <w:r>
        <w:t>| 5 | **Token Factory / inference becomes material** (≫ ~4% of revenue) | Disclosed segment or ARR mix | Mix-shift rebuttal reopens (today's evidence still ~1–4%) |</w:t>
      </w:r>
    </w:p>
    <w:p>
      <w:r>
        <w:t>| 6 | **Capacity high path is too low** on 2027–28 owned campuses (Independence/Butler/Birmingham power arrives early) | Utility dockets / interconnection energization | MW reading fails for FY27 |</w:t>
      </w:r>
    </w:p>
    <w:p>
      <w:r/>
      <w:r>
        <w:rPr>
          <w:b/>
        </w:rPr>
        <w:t>Doesn't break it alone:</w:t>
      </w:r>
      <w:r>
        <w:t xml:space="preserve"> rising Nebius H200/B200 *list* prices (GPU Market: H200 $4.85→$5.40, B200 $5.50→$8.50) — OD is ~4% of revenue; contract ACV comps still $14.5–16.2M. Monarch civil-only status doesn't break the $16.2M *price* print.</w:t>
      </w:r>
    </w:p>
    <w:p>
      <w:r/>
      <w:r>
        <w:rPr>
          <w:b/>
        </w:rPr>
        <w:t>Long case that survives a soft Q3:</w:t>
      </w:r>
      <w:r>
        <w:t xml:space="preserve"> stop-building EV ~$9.65 (Modeling) if commitments on cut sites can be avoided — that's the honest bull floor, not $243.</w:t>
      </w:r>
    </w:p>
    <w:p>
      <w:pPr>
        <w:pStyle w:val="Heading2"/>
      </w:pPr>
      <w:r>
        <w:t>2. Dilution from ~94–115M Class A headroom (D)</w:t>
      </w:r>
    </w:p>
    <w:p>
      <w:r>
        <w:t>Filings: ~</w:t>
      </w:r>
      <w:r>
        <w:rPr>
          <w:b/>
        </w:rPr>
        <w:t>115M</w:t>
      </w:r>
      <w:r>
        <w:t xml:space="preserve"> = 64.4M (20% pool) + 50.2M treasury; ~</w:t>
      </w:r>
      <w:r>
        <w:rPr>
          <w:b/>
        </w:rPr>
        <w:t>94M</w:t>
      </w:r>
      <w:r>
        <w:t xml:space="preserve"> net of NVIDIA's 21.1M unexercised warrant. Outstanding Class A ~238.4M at 6/30; economic basic ~308.7M (bear outline v3.5).</w:t>
      </w:r>
    </w:p>
    <w:p>
      <w:r>
        <w:t>| Issue price | Proceeds at 94M | Proceeds at 115M | New Class A / (old+new) | $/share hit on constant EV $74.7B* |</w:t>
      </w:r>
    </w:p>
    <w:p>
      <w:r>
        <w:t>|---|---:|---:|---:|---:|</w:t>
      </w:r>
    </w:p>
    <w:p>
      <w:r>
        <w:t>| $243 (spot) | $22.8B | $27.9B | 28% / 33% | −$57 / −$65 |</w:t>
      </w:r>
    </w:p>
    <w:p>
      <w:r>
        <w:t>| $194 (−20%) | $18.2B | $22.3B | 28% / 33% | −$57 / −$65 |</w:t>
      </w:r>
    </w:p>
    <w:p>
      <w:r>
        <w:t>| $100 | $9.4B | $11.5B | 28% / 33% | −$57 / −$65 |</w:t>
      </w:r>
    </w:p>
    <w:p>
      <w:r>
        <w:t>| $50 | $4.7B | $5.8B | 28% / 33% | −$57 / −$65 |</w:t>
      </w:r>
    </w:p>
    <w:p>
      <w:r>
        <w:t>\*Share-count dilution only at constant EV; issue price changes proceeds raised, not the % ownership give-up on a fixed share authorization. At economic shares 308.7M + 94M = 402.7M → EV/share falls from $242 to ~$186 (−$56) if EV fixed.</w:t>
      </w:r>
    </w:p>
    <w:p>
      <w:r/>
      <w:r>
        <w:rPr>
          <w:b/>
        </w:rPr>
        <w:t>So what:</w:t>
      </w:r>
      <w:r>
        <w:t xml:space="preserve"> full headroom at spot raises ~$23–28B — short of Modeling's ~$41.7B equity need through 2030. Authority renews each August AGM (~Aug 2027 next). Dilution is a </w:t>
      </w:r>
      <w:r>
        <w:rPr>
          <w:b/>
        </w:rPr>
        <w:t>pricing</w:t>
      </w:r>
      <w:r>
        <w:t xml:space="preserve"> issue (already in self-consistent PT), not a governance block. Class A ~35–42% no-votes remain color only.</w:t>
      </w:r>
    </w:p>
    <w:p>
      <w:pPr>
        <w:pStyle w:val="Heading2"/>
      </w:pPr>
      <w:r>
        <w:t>3. Q3 decision tree — updated</w:t>
      </w:r>
    </w:p>
    <w:p>
      <w:r>
        <w:t xml:space="preserve">See `04_q3_decision_tree.md/.docx` (refreshed). Added: RPO ~$5B unsigned overlay; MSFT </w:t>
      </w:r>
      <w:r>
        <w:rPr>
          <w:b/>
        </w:rPr>
        <w:t>4 of 9</w:t>
      </w:r>
      <w:r>
        <w:t xml:space="preserve"> language; payback two-line lock; Monarch footnote. Branches unchanged: price print / guide cut / MW miss / ambiguous.</w:t>
      </w:r>
    </w:p>
    <w:p>
      <w:pPr>
        <w:pStyle w:val="Heading2"/>
      </w:pPr>
      <w:r>
        <w:t>4. Peer KPIs $/MW chart — basis red-team</w:t>
      </w:r>
    </w:p>
    <w:p>
      <w:r/>
      <w:r>
        <w:rPr>
          <w:b/>
        </w:rPr>
        <w:t>What holds (keep the exhibit):</w:t>
      </w:r>
      <w:r/>
    </w:p>
    <w:p>
      <w:pPr>
        <w:pStyle w:val="ListBullet"/>
      </w:pPr>
      <w:r>
        <w:t>Nebius Street ~$26M uses **model billing IT MW** quarter averages (~473–475) — like-for-like with comps quoted per billed IT MW-yr.</w:t>
      </w:r>
    </w:p>
    <w:p>
      <w:pPr>
        <w:pStyle w:val="ListBullet"/>
      </w:pPr>
      <w:r>
        <w:t>CRWV "active power" ≈ billed (company metric) — fair comparator if MW paths are honest.</w:t>
      </w:r>
    </w:p>
    <w:p>
      <w:pPr>
        <w:pStyle w:val="ListBullet"/>
      </w:pPr>
      <w:r>
        <w:t>IREN YE26 $13.3M = $4B ARR / 300 IT MW (both Reported) — cleanest peer row.</w:t>
      </w:r>
    </w:p>
    <w:p>
      <w:pPr>
        <w:pStyle w:val="ListBullet"/>
      </w:pPr>
      <w:r>
        <w:t>Premium to $11–18M band survives even on CRWV low-MW path ($13.5M).</w:t>
      </w:r>
    </w:p>
    <w:p>
      <w:r/>
      <w:r>
        <w:rPr>
          <w:b/>
        </w:rPr>
        <w:t>What to footnote / fix before judges:</w:t>
      </w:r>
      <w:r/>
    </w:p>
    <w:p>
      <w:r>
        <w:t xml:space="preserve">1. </w:t>
      </w:r>
      <w:r>
        <w:rPr>
          <w:b/>
        </w:rPr>
        <w:t>YE26 guide rows in `Implied_Price` both use 257.7 MW</w:t>
      </w:r>
      <w:r>
        <w:t xml:space="preserve"> for the $7B *and* $9B lines — high guide should use ~</w:t>
      </w:r>
      <w:r>
        <w:rPr>
          <w:b/>
        </w:rPr>
        <w:t>284</w:t>
      </w:r>
      <w:r>
        <w:t xml:space="preserve"> MW so the band reads </w:t>
      </w:r>
      <w:r>
        <w:rPr>
          <w:b/>
        </w:rPr>
        <w:t>$25–32M</w:t>
      </w:r>
      <w:r>
        <w:t>, matching Judge_Slide / Capacity lock. As printed, $9B / 257.7 = $34.9M overstates the high-path rate. (@Nebius Peer KPIs / whoever owns the sheet.)</w:t>
      </w:r>
    </w:p>
    <w:p>
      <w:r>
        <w:t xml:space="preserve">2. </w:t>
      </w:r>
      <w:r>
        <w:rPr>
          <w:b/>
        </w:rPr>
        <w:t>Oracle</w:t>
      </w:r>
      <w:r>
        <w:t xml:space="preserve"> cumulative delivered MW is likely </w:t>
      </w:r>
      <w:r>
        <w:rPr>
          <w:b/>
        </w:rPr>
        <w:t>gross</w:t>
      </w:r>
      <w:r>
        <w:t xml:space="preserve"> and includes non-AI OCI revenue — keep as footnote-only, not the headline band.</w:t>
      </w:r>
    </w:p>
    <w:p>
      <w:r>
        <w:t xml:space="preserve">3. </w:t>
      </w:r>
      <w:r>
        <w:rPr>
          <w:b/>
        </w:rPr>
        <w:t>CRWV MW paths are Estimated</w:t>
      </w:r>
      <w:r>
        <w:t xml:space="preserve"> (BASE 2,325 FY27 avg) — sensitivity table already shows $9.5–13.5; cite the range, not only $11.3M.</w:t>
      </w:r>
    </w:p>
    <w:p>
      <w:r>
        <w:t xml:space="preserve">4. </w:t>
      </w:r>
      <w:r>
        <w:rPr>
          <w:b/>
        </w:rPr>
        <w:t>IREN FY27 rows mix ARR targets with recognized revenue</w:t>
      </w:r>
      <w:r>
        <w:t xml:space="preserve"> — prefer YE26 $13.3M (R/R) and the $14–18M ARR-path proxy as the band, not a GAAP FY27 that isn't disclosed AI-only.</w:t>
      </w:r>
    </w:p>
    <w:p>
      <w:r>
        <w:t xml:space="preserve">5. </w:t>
      </w:r>
      <w:r>
        <w:rPr>
          <w:b/>
        </w:rPr>
        <w:t>Ramp dilution:</w:t>
      </w:r>
      <w:r>
        <w:t xml:space="preserve"> CRWV realized $/active MW can run below contracted ACV (Peer KPIs factor). That weakens "2× CoreWeave" rhetoric but </w:t>
      </w:r>
      <w:r>
        <w:rPr>
          <w:b/>
        </w:rPr>
        <w:t>not</w:t>
      </w:r>
      <w:r>
        <w:t xml:space="preserve"> "Street $26M vs deal comps $14.5–16.2M." Keep both lines on the slide.</w:t>
      </w:r>
    </w:p>
    <w:p>
      <w:r/>
      <w:r>
        <w:rPr>
          <w:b/>
        </w:rPr>
        <w:t>Verdict:</w:t>
      </w:r>
      <w:r>
        <w:t xml:space="preserve"> exhibit survives with footnotes. Strongest clean comparison remains Nebius Street $26M vs IREN $13.3M (R) and owned-Rubin contract $16.2M† (Monarch civil-only).</w:t>
      </w:r>
    </w:p>
    <w:p>
      <w:pPr>
        <w:pStyle w:val="Heading2"/>
      </w:pPr>
      <w:r>
        <w:t>Files</w:t>
      </w:r>
    </w:p>
    <w:p>
      <w:pPr>
        <w:pStyle w:val="ListBullet"/>
      </w:pPr>
      <w:r>
        <w:t>This note: `05_v09a_pressure_test.md/.docx`</w:t>
      </w:r>
    </w:p>
    <w:p>
      <w:pPr>
        <w:pStyle w:val="ListBullet"/>
      </w:pPr>
      <w:r>
        <w:t>Q3 tree: `04_q3_decision_tree.md/.docx` (updated)</w:t>
      </w:r>
    </w:p>
    <w:p>
      <w:pPr>
        <w:pStyle w:val="ListBullet"/>
      </w:pPr>
      <w:r>
        <w:t>Bear memo: `02_bear_outline_v3.5.docx` (prior Monarch + payback corrections)</w:t>
      </w:r>
    </w:p>
    <w:p>
      <w:r>
        <w:t>Sources: Modeling v0.9a; Filings headroom / RPO roll-forward; Capacity 4-of-9; Peer KPIs `price_or_mw.xlsx`; GPU Market H200/B200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