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Judge Attacks on the Short (with Rebuttals) — FINAL Q&amp;A pass</w:t>
      </w:r>
    </w:p>
    <w:p>
      <w:r>
        <w:rPr>
          <w:b w:val="0"/>
        </w:rPr>
        <w:t>*Nebius Skeptic · v3 FINAL pass Fri Oct 9, 2026 ~11 AM ET, checked against v0.9e locks (deck line, ratios vs 77.8M, Attack 7) · tags: R Reported · D Derived · E Estimated · Confidence noted*</w:t>
      </w:r>
    </w:p>
    <w:p>
      <w:r>
        <w:rPr>
          <w:b/>
        </w:rPr>
        <w:t>Use:</w:t>
      </w:r>
      <w:r>
        <w:rPr>
          <w:b w:val="0"/>
        </w:rPr>
        <w:t xml:space="preserve"> prep for Fri insight debate / Point72 Q&amp;A. Short claim stays locked (v0.9e): at $237.15, spot needs ~$24.51M per IT MW on base / $22.68M on high, and the Street needs ~$27.6M from the non-MSFT book (Judge line 1) or MW above Capacity's path — against disclosed-MW comps </w:t>
      </w:r>
      <w:r>
        <w:rPr>
          <w:b/>
        </w:rPr>
        <w:t>$9.7–16.7M† as reported</w:t>
      </w:r>
      <w:r>
        <w:rPr>
          <w:b w:val="0"/>
        </w:rPr>
        <w:t>.</w:t>
      </w:r>
    </w:p>
    <w:p>
      <w:pPr>
        <w:pStyle w:val="Heading2"/>
      </w:pPr>
      <w:r>
        <w:t>Attack 1 — "Power isn't binding: they have ~941 MW connected vs ~302 active — 3× the grid they're billing."</w:t>
      </w:r>
    </w:p>
    <w:p>
      <w:r>
        <w:rPr>
          <w:b/>
        </w:rPr>
        <w:t>Why it's dangerous:</w:t>
      </w:r>
      <w:r>
        <w:rPr>
          <w:b w:val="0"/>
        </w:rPr>
        <w:t xml:space="preserve"> looks like Capacity is undercounting and the MW reading fails.</w:t>
      </w:r>
    </w:p>
    <w:p>
      <w:r>
        <w:rPr>
          <w:b/>
        </w:rPr>
        <w:t>Rebuttal (High):</w:t>
      </w:r>
    </w:p>
    <w:p>
      <w:pPr>
        <w:pStyle w:val="ListBullet"/>
      </w:pPr>
      <w:r>
        <w:rPr>
          <w:b/>
        </w:rPr>
        <w:t>Connected ≠ billing.</w:t>
      </w:r>
      <w:r>
        <w:rPr>
          <w:b w:val="0"/>
        </w:rPr>
        <w:t xml:space="preserve"> Capacity definition (R: Q1'26 / Q2'25 / Q3'25 letters): connected = power delivered into fully built and equipped DC halls (shell + fit-out ready; can sit idle). Not contracted land+power (~5 GW), not substation access alone, not active/billing IT.</w:t>
      </w:r>
    </w:p>
    <w:p>
      <w:pPr>
        <w:pStyle w:val="ListBullet"/>
      </w:pPr>
      <w:r>
        <w:rPr>
          <w:b/>
        </w:rPr>
        <w:t>941 is mgmt's YE26 connected guide band</w:t>
      </w:r>
      <w:r>
        <w:rPr>
          <w:b w:val="0"/>
        </w:rPr>
        <w:t xml:space="preserve"> (800 MW–1 GW, R), reconstructed site-by-site [E] — Filings agrees. Billing locks stay </w:t>
      </w:r>
      <w:r>
        <w:rPr>
          <w:b/>
        </w:rPr>
        <w:t>258 / 284</w:t>
      </w:r>
      <w:r>
        <w:rPr>
          <w:b w:val="0"/>
        </w:rPr>
        <w:t xml:space="preserve"> YE26 (base/high).</w:t>
      </w:r>
    </w:p>
    <w:p>
      <w:pPr>
        <w:pStyle w:val="ListBullet"/>
      </w:pPr>
      <w:r>
        <w:rPr>
          <w:b/>
        </w:rPr>
        <w:t>Vineland proof (locked Oct 8, Capacity):</w:t>
      </w:r>
      <w:r>
        <w:rPr>
          <w:b w:val="0"/>
        </w:rPr>
        <w:t xml:space="preserve"> </w:t>
      </w:r>
      <w:r>
        <w:rPr>
          <w:b/>
        </w:rPr>
        <w:t>300 MW connected</w:t>
      </w:r>
      <w:r>
        <w:rPr>
          <w:b w:val="0"/>
        </w:rPr>
        <w:t xml:space="preserve"> (YE26 shell / built hall, E site split) vs </w:t>
      </w:r>
      <w:r>
        <w:rPr>
          <w:b/>
        </w:rPr>
        <w:t>~82 MW IT active</w:t>
      </w:r>
      <w:r>
        <w:rPr>
          <w:b w:val="0"/>
        </w:rPr>
        <w:t xml:space="preserve"> (installed IT on gensets, D). ~218 is only the gap; ~107 IT is the T1–T4 genset *ceiling*, not today's active. T5–T9 still Bloom-gated (Bloom delivery </w:t>
      </w:r>
      <w:r>
        <w:rPr>
          <w:b/>
        </w:rPr>
        <w:t>none found</w:t>
      </w:r>
      <w:r>
        <w:rPr>
          <w:b w:val="0"/>
        </w:rPr>
        <w:t>; Case B −~$966M 2027 rev still ~35%). Idle connected halls do not print the $7–9B guide.</w:t>
      </w:r>
    </w:p>
    <w:p>
      <w:pPr>
        <w:pStyle w:val="ListBullet"/>
      </w:pPr>
      <w:r>
        <w:rPr>
          <w:b/>
        </w:rPr>
        <w:t>So what:</w:t>
      </w:r>
      <w:r>
        <w:rPr>
          <w:b w:val="0"/>
        </w:rPr>
        <w:t xml:space="preserve"> the gap *is* the short — shells and power path ahead of GPUs/onboarding/Bloom. More connected MW without mid-term ACV ≥$20M disclosed-MW prints does not clear $237.15.</w:t>
      </w:r>
    </w:p>
    <w:p>
      <w:pPr>
        <w:pStyle w:val="Heading2"/>
      </w:pPr>
      <w:r>
        <w:t>Attack 2 — "H200/B200 list prices rose ($4.85→$5.40; $5.50→$8.50). Demand is tight — your 'no structural premium' line is wrong."</w:t>
      </w:r>
    </w:p>
    <w:p>
      <w:r>
        <w:rPr>
          <w:b/>
        </w:rPr>
        <w:t>Why it's dangerous:</w:t>
      </w:r>
      <w:r>
        <w:rPr>
          <w:b w:val="0"/>
        </w:rPr>
        <w:t xml:space="preserve"> sounds like pricing power; judges love list-price charts.</w:t>
      </w:r>
    </w:p>
    <w:p>
      <w:r>
        <w:rPr>
          <w:b/>
        </w:rPr>
        <w:t>Rebuttal (High — GPU Market):</w:t>
      </w:r>
    </w:p>
    <w:p>
      <w:pPr>
        <w:pStyle w:val="ListBullet"/>
      </w:pPr>
      <w:r>
        <w:rPr>
          <w:b w:val="0"/>
        </w:rPr>
        <w:t>On-demand plus Token Factory is ~</w:t>
      </w:r>
      <w:r>
        <w:rPr>
          <w:b/>
        </w:rPr>
        <w:t>4%</w:t>
      </w:r>
      <w:r>
        <w:rPr>
          <w:b w:val="0"/>
        </w:rPr>
        <w:t xml:space="preserve"> of revenue on our estimate [E, range 1–9%; not reported] — a demand signal, </w:t>
      </w:r>
      <w:r>
        <w:rPr>
          <w:b/>
        </w:rPr>
        <w:t>not</w:t>
      </w:r>
      <w:r>
        <w:rPr>
          <w:b w:val="0"/>
        </w:rPr>
        <w:t xml:space="preserve"> an ACV print.</w:t>
      </w:r>
    </w:p>
    <w:p>
      <w:pPr>
        <w:pStyle w:val="ListBullet"/>
      </w:pPr>
      <w:r>
        <w:rPr>
          <w:b w:val="0"/>
        </w:rPr>
        <w:t xml:space="preserve">Disclosed-MW contract band stays </w:t>
      </w:r>
      <w:r>
        <w:rPr>
          <w:b/>
        </w:rPr>
        <w:t>$9.7–16.7M† as reported</w:t>
      </w:r>
      <w:r>
        <w:rPr>
          <w:b w:val="0"/>
        </w:rPr>
        <w:t xml:space="preserve"> (IREN–MSFT $9.7 · Narvik $11.7 · Nscale ~$13.4 · MSFT–Nebius $14.49 per IT MW · Anthropic–Nscale $16.2† Monarch civil-only). Street non-MSFT ~$27.6M and the base clear-spot </w:t>
      </w:r>
      <w:r>
        <w:rPr>
          <w:b/>
        </w:rPr>
        <w:t>$24.51M</w:t>
      </w:r>
      <w:r>
        <w:rPr>
          <w:b w:val="0"/>
        </w:rPr>
        <w:t xml:space="preserve"> sit outside.</w:t>
      </w:r>
    </w:p>
    <w:p>
      <w:pPr>
        <w:pStyle w:val="ListBullet"/>
      </w:pPr>
      <w:r>
        <w:rPr>
          <w:b/>
        </w:rPr>
        <w:t>No clean ≥$20M print with exact MW</w:t>
      </w:r>
      <w:r>
        <w:rPr>
          <w:b w:val="0"/>
        </w:rPr>
        <w:t xml:space="preserve"> (GPU Market re-sweep Oct 8, High). Near-miss: Bitdeer A201 Johor GB300 — &gt;70% of ~21.7 MW for &gt;$1.7B/5 yr ⇒ </w:t>
      </w:r>
      <w:r>
        <w:rPr>
          <w:b/>
        </w:rPr>
        <w:t>ceiling ≤$22.4M</w:t>
      </w:r>
      <w:r>
        <w:rPr>
          <w:b w:val="0"/>
        </w:rPr>
        <w:t>/MW-yr (D), $15.7M if fully contracted; MW basis unstated, customers unnamed, small peer — below the locked cover lines (≥$22.7M high path / ≥$24.51M base, on ≥100 MW or ≥$2B TCV). Needham 10/2 (E, third-party) puts market at $15–20M+ (Lambda–Anthropic $16.6M, Nscale–Anthropic $16.3M). Company "&gt;$20M" KPIs lack deal-level MW.</w:t>
      </w:r>
    </w:p>
    <w:p>
      <w:pPr>
        <w:pStyle w:val="ListBullet"/>
      </w:pPr>
      <w:r>
        <w:rPr>
          <w:b/>
        </w:rPr>
        <w:t>AWS Capacity Blocks +15% eff. Oct 7</w:t>
      </w:r>
      <w:r>
        <w:rPr>
          <w:b w:val="0"/>
        </w:rPr>
        <w:t xml:space="preserve"> (R: H100 $5.19→$5.97, H200 $5.97→$6.87, B200 $12.36→$14.21); </w:t>
      </w:r>
      <w:r>
        <w:rPr>
          <w:b/>
        </w:rPr>
        <w:t>Nebius list unchanged</w:t>
      </w:r>
      <w:r>
        <w:rPr>
          <w:b w:val="0"/>
        </w:rPr>
        <w:t xml:space="preserve"> (H100 $4.50 / H200 $5.40 / B200 $8.50). Hyperscaler list hikes = demand signal; Nebius didn't follow, and term rates didn't move.</w:t>
      </w:r>
    </w:p>
    <w:p>
      <w:pPr>
        <w:pStyle w:val="ListBullet"/>
      </w:pPr>
      <w:r>
        <w:rPr>
          <w:b w:val="0"/>
        </w:rPr>
        <w:t>GB300/Rubin: Nebius+CRWV still contact-only; OCI OD $18 flat; no major-provider Rubin list. Rising Hopper/Blackwell *lists* do not underwrite fleet clearing at $24.51M.</w:t>
      </w:r>
    </w:p>
    <w:p>
      <w:pPr>
        <w:pStyle w:val="Heading2"/>
      </w:pPr>
      <w:r>
        <w:t>Attack 3 — "Management guided $7–9B YE26 ARR and ~$40B backlog — the Street is just reading the guide."</w:t>
      </w:r>
    </w:p>
    <w:p>
      <w:r>
        <w:rPr>
          <w:b/>
        </w:rPr>
        <w:t>Why it's dangerous:</w:t>
      </w:r>
      <w:r>
        <w:rPr>
          <w:b w:val="0"/>
        </w:rPr>
        <w:t xml:space="preserve"> short looks like fighting management.</w:t>
      </w:r>
    </w:p>
    <w:p>
      <w:r>
        <w:rPr>
          <w:b/>
        </w:rPr>
        <w:t>Rebuttal (High):</w:t>
      </w:r>
    </w:p>
    <w:p>
      <w:pPr>
        <w:pStyle w:val="ListBullet"/>
      </w:pPr>
      <w:r>
        <w:rPr>
          <w:b w:val="0"/>
        </w:rPr>
        <w:t xml:space="preserve">YE26 $7–9B on billing </w:t>
      </w:r>
      <w:r>
        <w:rPr>
          <w:b/>
        </w:rPr>
        <w:t>257.7 / 284.2</w:t>
      </w:r>
      <w:r>
        <w:rPr>
          <w:b w:val="0"/>
        </w:rPr>
        <w:t xml:space="preserve"> implies </w:t>
      </w:r>
      <w:r>
        <w:rPr>
          <w:b/>
        </w:rPr>
        <w:t>$27.2–31.7M</w:t>
      </w:r>
      <w:r>
        <w:rPr>
          <w:b w:val="0"/>
        </w:rPr>
        <w:t>/billed MW (Peer KPIs fixed) — same unwritable band as Judge $24.51M.</w:t>
      </w:r>
    </w:p>
    <w:p>
      <w:pPr>
        <w:pStyle w:val="ListBullet"/>
      </w:pPr>
      <w:r>
        <w:rPr>
          <w:b w:val="0"/>
        </w:rPr>
        <w:t>June site-count was ~</w:t>
      </w:r>
      <w:r>
        <w:rPr>
          <w:b/>
        </w:rPr>
        <w:t>$16M</w:t>
      </w:r>
      <w:r>
        <w:rPr>
          <w:b w:val="0"/>
        </w:rPr>
        <w:t xml:space="preserve"> on ~183–193 MW. Closing the gap needs ST share ~14–79% vs evidence base ~</w:t>
      </w:r>
      <w:r>
        <w:rPr>
          <w:b/>
        </w:rPr>
        <w:t>5%</w:t>
      </w:r>
      <w:r>
        <w:rPr>
          <w:b w:val="0"/>
        </w:rPr>
        <w:t xml:space="preserve"> (one signed $40M+ deal) or mid-term ACVs we don't have (GPU Market).</w:t>
      </w:r>
    </w:p>
    <w:p>
      <w:pPr>
        <w:pStyle w:val="ListBullet"/>
      </w:pPr>
      <w:r>
        <w:rPr>
          <w:b w:val="0"/>
        </w:rPr>
        <w:t xml:space="preserve">RPO: </w:t>
      </w:r>
      <w:r>
        <w:rPr>
          <w:b/>
        </w:rPr>
        <w:t>~55% signed cover on a flat split of 0–24m RPO [E]</w:t>
      </w:r>
      <w:r>
        <w:rPr>
          <w:b w:val="0"/>
        </w:rPr>
        <w:t xml:space="preserve"> (~$13.5B due 0–24m at 6/30 [D], ~$6.7B for FY27 [E]) against Street FY27 </w:t>
      </w:r>
      <w:r>
        <w:rPr>
          <w:b/>
        </w:rPr>
        <w:t>~$12.3B [E, consensus]</w:t>
      </w:r>
      <w:r>
        <w:rPr>
          <w:b w:val="0"/>
        </w:rPr>
        <w:t xml:space="preserve">, so ~$5.6B still to sign [E]; higher only if recognition is back-loaded (not disclosed). Mgmt "~$40B" backlog vs GAAP RPO </w:t>
      </w:r>
      <w:r>
        <w:rPr>
          <w:b/>
        </w:rPr>
        <w:t>$37.5B</w:t>
      </w:r>
      <w:r>
        <w:rPr>
          <w:b w:val="0"/>
        </w:rPr>
        <w:t xml:space="preserve"> is Filings' recon (below) — either way, backlog ≠ YE26 billed run-rate.</w:t>
      </w:r>
    </w:p>
    <w:p>
      <w:pPr>
        <w:pStyle w:val="ListBullet"/>
      </w:pPr>
      <w:r>
        <w:rPr>
          <w:b/>
        </w:rPr>
        <w:t>Q3 (date not announced as of 10/9; if no release by ~Oct 10 assume ~Nov 10; a late date is neutral, and nothing is "late" before ~Oct 21–29)</w:t>
      </w:r>
      <w:r>
        <w:rPr>
          <w:b w:val="0"/>
        </w:rPr>
        <w:t xml:space="preserve"> is the dated test — not the guide slide. Filings Q3 watch-list break-short signals: Sept ARR ≥$5.5B, RPO ≥$42.5B, Q3 rev ≥$1.0B, ≥5 of 9 MSFT tranches on permanent power, or mid-term deals with MW disclosed at ≥$22.7M (high path) / ≥$24.51M (base) on a material share.</w:t>
      </w:r>
    </w:p>
    <w:p>
      <w:pPr>
        <w:pStyle w:val="ListBullet"/>
      </w:pPr>
      <w:r>
        <w:rPr>
          <w:b w:val="0"/>
        </w:rPr>
        <w:t>Backlog recon (Filings): "$40B+" &gt; GAAP RPO $37.5B &gt; firm IG contracts $32.3B; gap likely Meta "up to $15B" backstop outside RPO (E). Slide: "$40B counts contingent value."</w:t>
      </w:r>
    </w:p>
    <w:p>
      <w:pPr>
        <w:pStyle w:val="Heading2"/>
      </w:pPr>
      <w:r>
        <w:t>Attack 4 — "Microsoft is take-or-pay; Vineland alone funds the story. Letter says all tranches delivered."</w:t>
      </w:r>
    </w:p>
    <w:p>
      <w:r>
        <w:rPr>
          <w:b/>
        </w:rPr>
        <w:t>Why it's dangerous:</w:t>
      </w:r>
      <w:r>
        <w:rPr>
          <w:b w:val="0"/>
        </w:rPr>
        <w:t xml:space="preserve"> concentration + take-or-pay feels like downside protection.</w:t>
      </w:r>
    </w:p>
    <w:p>
      <w:r>
        <w:rPr>
          <w:b/>
        </w:rPr>
        <w:t>Rebuttal (High):</w:t>
      </w:r>
    </w:p>
    <w:p>
      <w:pPr>
        <w:pStyle w:val="ListBullet"/>
      </w:pPr>
      <w:r>
        <w:rPr>
          <w:b w:val="0"/>
        </w:rPr>
        <w:t xml:space="preserve">Don't cite the letter alone. Pair with Andrey "up to date" / "remaining": </w:t>
      </w:r>
      <w:r>
        <w:rPr>
          <w:b/>
        </w:rPr>
        <w:t>4 of 9</w:t>
      </w:r>
      <w:r>
        <w:rPr>
          <w:b w:val="0"/>
        </w:rPr>
        <w:t xml:space="preserve"> live on gensets (~107 IT MW equal-split </w:t>
      </w:r>
      <w:r>
        <w:rPr>
          <w:b/>
        </w:rPr>
        <w:t>E</w:t>
      </w:r>
      <w:r>
        <w:rPr>
          <w:b w:val="0"/>
        </w:rPr>
        <w:t xml:space="preserve">); </w:t>
      </w:r>
      <w:r>
        <w:rPr>
          <w:b/>
        </w:rPr>
        <w:t>T5–T9 wait on Bloom</w:t>
      </w:r>
      <w:r>
        <w:rPr>
          <w:b w:val="0"/>
        </w:rPr>
        <w:t xml:space="preserve"> (Capacity + Filings Q&amp;A lock).</w:t>
      </w:r>
    </w:p>
    <w:p>
      <w:pPr>
        <w:pStyle w:val="ListBullet"/>
      </w:pPr>
      <w:r>
        <w:rPr>
          <w:b w:val="0"/>
        </w:rPr>
        <w:t xml:space="preserve">Per-tranche MW </w:t>
      </w:r>
      <w:r>
        <w:rPr>
          <w:b/>
        </w:rPr>
        <w:t>not disclosed</w:t>
      </w:r>
      <w:r>
        <w:rPr>
          <w:b w:val="0"/>
        </w:rPr>
        <w:t>; equal-split 26.7 IT stays Estimated.</w:t>
      </w:r>
    </w:p>
    <w:p>
      <w:pPr>
        <w:pStyle w:val="ListBullet"/>
      </w:pPr>
      <w:r>
        <w:rPr>
          <w:b w:val="0"/>
        </w:rPr>
        <w:t xml:space="preserve">Microsoft at </w:t>
      </w:r>
      <w:r>
        <w:rPr>
          <w:b/>
        </w:rPr>
        <w:t>$14.49M per IT MW</w:t>
      </w:r>
      <w:r>
        <w:rPr>
          <w:b w:val="0"/>
        </w:rPr>
        <w:t xml:space="preserve"> [E, house] (tranche basis; the only figure we use) on leased GB300 is </w:t>
      </w:r>
      <w:r>
        <w:rPr>
          <w:b/>
        </w:rPr>
        <w:t>below</w:t>
      </w:r>
      <w:r>
        <w:rPr>
          <w:b w:val="0"/>
        </w:rPr>
        <w:t xml:space="preserve"> the stand-alone owned-Rubin breakeven (</w:t>
      </w:r>
      <w:r>
        <w:rPr>
          <w:b/>
        </w:rPr>
        <w:t>~$18–20M depending on WACC [D]</w:t>
      </w:r>
      <w:r>
        <w:rPr>
          <w:b w:val="0"/>
        </w:rPr>
        <w:t>, Payback_Floor) and below the base clear-spot $24.51M — it anchors the comps band, it does not clear the stock.</w:t>
      </w:r>
    </w:p>
    <w:p>
      <w:pPr>
        <w:pStyle w:val="ListBullet"/>
      </w:pPr>
      <w:r>
        <w:rPr>
          <w:b w:val="0"/>
        </w:rPr>
        <w:t>Bloom: no public delivery/install evidence; Aug 10 stop-construction still no public lift; Case B probability unchanged ~35%.</w:t>
      </w:r>
    </w:p>
    <w:p>
      <w:pPr>
        <w:pStyle w:val="Heading2"/>
      </w:pPr>
      <w:r>
        <w:t>Attack 5 — "Your model is harsh — stop-building is ~$10 and D3 gets to $281. Aadit can just underwrite $24M on new MW."</w:t>
      </w:r>
    </w:p>
    <w:p>
      <w:r>
        <w:rPr>
          <w:b/>
        </w:rPr>
        <w:t>Why it's dangerous:</w:t>
      </w:r>
      <w:r>
        <w:rPr>
          <w:b w:val="0"/>
        </w:rPr>
        <w:t xml:space="preserve"> long stacks look like a path to spot.</w:t>
      </w:r>
    </w:p>
    <w:p>
      <w:r>
        <w:rPr>
          <w:b/>
        </w:rPr>
        <w:t>Rebuttal (High — Modeling v0.9e + Skeptic):</w:t>
      </w:r>
    </w:p>
    <w:p>
      <w:pPr>
        <w:pStyle w:val="ListBullet"/>
      </w:pPr>
      <w:r>
        <w:rPr>
          <w:b/>
        </w:rPr>
        <w:t>A4</w:t>
      </w:r>
      <w:r>
        <w:rPr>
          <w:b w:val="0"/>
        </w:rPr>
        <w:t xml:space="preserve"> (all uncontracted at $24M, Judge basis) → only </w:t>
      </w:r>
      <w:r>
        <w:rPr>
          <w:b/>
        </w:rPr>
        <w:t>$223</w:t>
      </w:r>
      <w:r>
        <w:rPr>
          <w:b w:val="0"/>
        </w:rPr>
        <w:t xml:space="preserve"> on 358.56M FD — still </w:t>
      </w:r>
      <w:r>
        <w:rPr>
          <w:b/>
        </w:rPr>
        <w:t>below</w:t>
      </w:r>
      <w:r>
        <w:rPr>
          <w:b w:val="0"/>
        </w:rPr>
        <w:t xml:space="preserve"> spot ($237.15). Short doesn't need D3 to fail.</w:t>
      </w:r>
    </w:p>
    <w:p>
      <w:pPr>
        <w:pStyle w:val="ListBullet"/>
      </w:pPr>
      <w:r>
        <w:rPr>
          <w:b/>
        </w:rPr>
        <w:t>D3</w:t>
      </w:r>
      <w:r>
        <w:rPr>
          <w:b w:val="0"/>
        </w:rPr>
        <w:t xml:space="preserve"> ($24M + high MW) gets </w:t>
      </w:r>
      <w:r>
        <w:rPr>
          <w:b/>
        </w:rPr>
        <w:t>$281</w:t>
      </w:r>
      <w:r>
        <w:rPr>
          <w:b w:val="0"/>
        </w:rPr>
        <w:t xml:space="preserve">, above spot, but it is a </w:t>
      </w:r>
      <w:r>
        <w:rPr>
          <w:b/>
        </w:rPr>
        <w:t>labelled scenario</w:t>
      </w:r>
      <w:r>
        <w:rPr>
          <w:b w:val="0"/>
        </w:rPr>
        <w:t xml:space="preserve"> (every uncontracted MW repriced to $24M on the 659.2 high path), not a base case, and needs ~226M shares of authority (2.9× our 77.8M headroom; ~190M new shares) and A4 ~230M (3.0×; ~184M new); high-path mixed routes 2.9–3.5×; headroom per Filings/Modeling Oct 9 AM, "2.3–2.9×"/"2.4–2.9×" retired). Stress case, not a path (locked Oct 9): "D3 needs every uncontracted MW at ~$24M; if any of it signs at the band top, the rest has to price above every multi-year deal we've found." On the high path, 81.9% of MW at $24M (rest $16.7M) is needed just for spot; base can't reach spot even at 100% $24M (A4 $223.39). No MW-disclosed print is at $24M: best is Bitdeer ≤$22.4M (~$1.6M short), band top $16.67M (~$7M short). Underwritable only if multiple signed mid-term ACVs ≥$22–24M with </w:t>
      </w:r>
      <w:r>
        <w:rPr>
          <w:b/>
        </w:rPr>
        <w:t>disclosed MW</w:t>
      </w:r>
      <w:r>
        <w:rPr>
          <w:b w:val="0"/>
        </w:rPr>
        <w:t xml:space="preserve"> print by Q3/Q4 — </w:t>
      </w:r>
      <w:r>
        <w:rPr>
          <w:b/>
        </w:rPr>
        <w:t>none found</w:t>
      </w:r>
      <w:r>
        <w:rPr>
          <w:b w:val="0"/>
        </w:rPr>
        <w:t xml:space="preserve"> today.</w:t>
      </w:r>
    </w:p>
    <w:p>
      <w:pPr>
        <w:pStyle w:val="ListBullet"/>
      </w:pPr>
      <w:r>
        <w:rPr>
          <w:b w:val="0"/>
        </w:rPr>
        <w:t xml:space="preserve">Mixed routes (v0.9e full solves, replace the retired v0.9b short-term mix math): on the high path, spot needs </w:t>
      </w:r>
      <w:r>
        <w:rPr>
          <w:b/>
        </w:rPr>
        <w:t>81.9%</w:t>
      </w:r>
      <w:r>
        <w:rPr>
          <w:b w:val="0"/>
        </w:rPr>
        <w:t xml:space="preserve"> of uncontracted MW at $24M (rest at $16.7M); base can't reach spot even at 100% $24M (A4 $223.39). Even if management's four Q2 deals were 200 MW at $25M forever, base stays $0 (high $4.35; Attack 7).</w:t>
      </w:r>
    </w:p>
    <w:p>
      <w:pPr>
        <w:pStyle w:val="ListBullet"/>
      </w:pPr>
      <w:r>
        <w:rPr>
          <w:b w:val="0"/>
        </w:rPr>
        <w:t>Funding: Case (a) needs ~</w:t>
      </w:r>
      <w:r>
        <w:rPr>
          <w:b/>
        </w:rPr>
        <w:t>215M shares of authority</w:t>
      </w:r>
      <w:r>
        <w:rPr>
          <w:b w:val="0"/>
        </w:rPr>
        <w:t xml:space="preserve"> vs </w:t>
      </w:r>
      <w:r>
        <w:rPr>
          <w:b/>
        </w:rPr>
        <w:t>77.8M</w:t>
      </w:r>
      <w:r>
        <w:rPr>
          <w:b w:val="0"/>
        </w:rPr>
        <w:t xml:space="preserve"> net no-vote headroom (net of NVIDIA's 21.07M warrant) = </w:t>
      </w:r>
      <w:r>
        <w:rPr>
          <w:b/>
        </w:rPr>
        <w:t>~2.8×</w:t>
      </w:r>
      <w:r>
        <w:rPr>
          <w:b w:val="0"/>
        </w:rPr>
        <w:t xml:space="preserve"> (v0.9e; the 209M / ~97M / 2.2–2.8× figures are retired). Even the bull needs a higher issue price or new AGM authority.</w:t>
      </w:r>
    </w:p>
    <w:p>
      <w:pPr>
        <w:pStyle w:val="ListBullet"/>
      </w:pPr>
      <w:r>
        <w:rPr>
          <w:b w:val="0"/>
        </w:rPr>
        <w:t xml:space="preserve">Share convention (Grok/Filings lock Oct 8): below ~$313 the Feb-30/Feb-34 notes are </w:t>
      </w:r>
      <w:r>
        <w:rPr>
          <w:b/>
        </w:rPr>
        <w:t>debt</w:t>
      </w:r>
      <w:r>
        <w:rPr>
          <w:b w:val="0"/>
        </w:rPr>
        <w:t xml:space="preserve"> (FD </w:t>
      </w:r>
      <w:r>
        <w:rPr>
          <w:b/>
        </w:rPr>
        <w:t>358.56M</w:t>
      </w:r>
      <w:r>
        <w:rPr>
          <w:b w:val="0"/>
        </w:rPr>
        <w:t xml:space="preserve">, $5.75B in net debt) — covers short base and A4; above $313.46 if-converted (only bull, $400.5, at 376.65M; A4 $223 and D3 $281 stay in the debt tier; one-price $217 / $274 / $257 retired Oct 8). Keep ~$5.68B net proceeds in cash either way. Spot </w:t>
      </w:r>
      <w:r>
        <w:rPr>
          <w:b/>
        </w:rPr>
        <w:t>$237.15</w:t>
      </w:r>
      <w:r>
        <w:rPr>
          <w:b w:val="0"/>
        </w:rPr>
        <w:t xml:space="preserve"> (10/7 close).</w:t>
      </w:r>
    </w:p>
    <w:p>
      <w:pPr>
        <w:pStyle w:val="Heading2"/>
      </w:pPr>
      <w:r>
        <w:t>Quick cheat sheet (one line each)</w:t>
      </w:r>
    </w:p>
    <w:p>
      <w:r>
        <w:rPr>
          <w:b w:val="0"/>
        </w:rPr>
        <w:t>| Attack | Rebuttal hook |</w:t>
      </w:r>
    </w:p>
    <w:p>
      <w:r>
        <w:rPr>
          <w:b w:val="0"/>
        </w:rPr>
        <w:t>|---|---|</w:t>
      </w:r>
    </w:p>
    <w:p>
      <w:r>
        <w:rPr>
          <w:b w:val="0"/>
        </w:rPr>
        <w:t>| 941 connected | Connected ≠ billing; Vineland Bloom-gated; 258/284 billing lock |</w:t>
      </w:r>
    </w:p>
    <w:p>
      <w:r>
        <w:rPr>
          <w:b w:val="0"/>
        </w:rPr>
        <w:t>| H200/B200 lists | on-demand + Token Factory ~4% [E]; contract band $9.7–16.7M† as reported; zero mid-term ≥$20M disclosed-MW |</w:t>
      </w:r>
    </w:p>
    <w:p>
      <w:r>
        <w:rPr>
          <w:b w:val="0"/>
        </w:rPr>
        <w:t>| $7–9B / $40B | Implies $27–32M/MW; RPO gap ~$5B; Q3 is the test |</w:t>
      </w:r>
    </w:p>
    <w:p>
      <w:r>
        <w:rPr>
          <w:b w:val="0"/>
        </w:rPr>
        <w:t>| MSFT take-or-pay | 4 of 9; T5–T9 Bloom; contract is comps floor not stock clear |</w:t>
      </w:r>
    </w:p>
    <w:p>
      <w:r>
        <w:rPr>
          <w:b w:val="0"/>
        </w:rPr>
        <w:t>| D3 / stop-build | A4 $223 &lt; $237.15; D3 $281 is a stress case (2.9×); Case (a) 2.8× headroom |</w:t>
      </w:r>
    </w:p>
    <w:p>
      <w:r>
        <w:rPr>
          <w:b w:val="0"/>
        </w:rPr>
        <w:t>| Mixed MW basis / Lambda | One IT basis; band as reported; gross Lambda $51–204 &lt; spot, 4.1–4.2× |</w:t>
      </w:r>
    </w:p>
    <w:p>
      <w:r>
        <w:rPr>
          <w:b w:val="0"/>
        </w:rPr>
        <w:t>| Mgmt Q2 $20–25M | No MW/term; 200 MW at $25M forever = $0 base / $4.35 high; Street $27.6M &gt; range top |</w:t>
      </w:r>
    </w:p>
    <w:p>
      <w:r>
        <w:rPr>
          <w:b w:val="0"/>
        </w:rPr>
        <w:t>Sources: Modeling v0.9e; Capacity YE26 active-vs-connected + Bloom none-found; GPU Market MidTerm_20M_Search + H200/B200 + hyperscaler band; Filings FD/RPO/MSFT Q&amp;A; Skeptic 05_v09a + Q3 tree.</w:t>
      </w:r>
    </w:p>
    <w:p>
      <w:pPr>
        <w:pStyle w:val="Heading2"/>
      </w:pPr>
      <w:r>
        <w:t>Dated fact (not a pillar) — COO sale</w:t>
      </w:r>
    </w:p>
    <w:p>
      <w:r>
        <w:rPr>
          <w:b w:val="0"/>
        </w:rPr>
        <w:t xml:space="preserve">COO Ophir Nave sold </w:t>
      </w:r>
      <w:r>
        <w:rPr>
          <w:b/>
        </w:rPr>
        <w:t>500k settled RSUs (~$118M) on 10/5 under a Rule 10b5-1 plan adopted May 22, 2026</w:t>
      </w:r>
      <w:r>
        <w:rPr>
          <w:b w:val="0"/>
        </w:rPr>
        <w:t xml:space="preserve"> — ~17% of granted equity; Form 4 says no further sales under that plan (R, Form 4 per Filings; see /workspace/nebius/filings/edgar_recheck_2026-10-08.docx). Do </w:t>
      </w:r>
      <w:r>
        <w:rPr>
          <w:b/>
        </w:rPr>
        <w:t>not</w:t>
      </w:r>
      <w:r>
        <w:rPr>
          <w:b w:val="0"/>
        </w:rPr>
        <w:t xml:space="preserve"> say "~52% of his stake" (that's direct holdings only). If a judge raises it: pre-set plan, not a signal; our short doesn't rely on it.</w:t>
      </w:r>
    </w:p>
    <w:p>
      <w:pPr>
        <w:pStyle w:val="Heading2"/>
      </w:pPr>
      <w:r>
        <w:t>Insight A headline (Oct 8 lock)</w:t>
      </w:r>
    </w:p>
    <w:p>
      <w:r>
        <w:rPr>
          <w:b w:val="0"/>
        </w:rPr>
        <w:t xml:space="preserve">Lead with non-Microsoft ~$27.6M per IT MW, above every disclosed term print. Only 3–6 month deals clear it. Blended </w:t>
      </w:r>
      <w:r>
        <w:rPr>
          <w:b/>
        </w:rPr>
        <w:t>~$23.13M</w:t>
      </w:r>
      <w:r>
        <w:rPr>
          <w:b w:val="0"/>
        </w:rPr>
        <w:t xml:space="preserve"> (Street FY27 revenue ÷ our 531.8 billed MW, all customers [D]) is the supporting line only; never put it next to the ~$27.6M non-MSFT hurdle without saying which is which ($22.9M on 536.5 is retired). On Meta: the only print we can derive is ~$11.5M/MW at ~50 MW (first deal, D, low); the $12.0B deal has no MW. At anything like that, the rest of the book has to clear more.</w:t>
      </w:r>
    </w:p>
    <w:p>
      <w:pPr>
        <w:pStyle w:val="Heading2"/>
      </w:pPr>
      <w:r>
        <w:t>Kill / cover lines for the fork (locked Oct 8 PM, v0.9e)</w:t>
      </w:r>
    </w:p>
    <w:p>
      <w:pPr>
        <w:pStyle w:val="ListBullet"/>
      </w:pPr>
      <w:r>
        <w:rPr>
          <w:b/>
        </w:rPr>
        <w:t>High path:</w:t>
      </w:r>
      <w:r>
        <w:rPr>
          <w:b w:val="0"/>
        </w:rPr>
        <w:t xml:space="preserve"> cover if Q3 billed MW tracks high (9/30 billed plus Q4 plan consistent with YE26 ≥284.2) AND deals at ≥$22.7M/MW with MW disclosed cover ≥100 MW or ≥$2B TCV [E].</w:t>
      </w:r>
    </w:p>
    <w:p>
      <w:pPr>
        <w:pStyle w:val="ListBullet"/>
      </w:pPr>
      <w:r>
        <w:rPr>
          <w:b/>
        </w:rPr>
        <w:t>Base path:</w:t>
      </w:r>
      <w:r>
        <w:rPr>
          <w:b w:val="0"/>
        </w:rPr>
        <w:t xml:space="preserve"> cover at ≥$24.51M on a material share.</w:t>
      </w:r>
    </w:p>
    <w:p>
      <w:pPr>
        <w:pStyle w:val="ListBullet"/>
      </w:pPr>
      <w:r>
        <w:rPr>
          <w:b/>
        </w:rPr>
        <w:t>MW:</w:t>
      </w:r>
      <w:r>
        <w:rPr>
          <w:b w:val="0"/>
        </w:rPr>
        <w:t xml:space="preserve"> cover at ≥5 of 9 Microsoft tranches on permanent power, or a 2027 plan pointing to ≥768.75 billed MW.</w:t>
      </w:r>
    </w:p>
    <w:p>
      <w:pPr>
        <w:pStyle w:val="ListBullet"/>
      </w:pPr>
      <w:r>
        <w:rPr>
          <w:b/>
        </w:rPr>
        <w:t>Flag only:</w:t>
      </w:r>
      <w:r>
        <w:rPr>
          <w:b w:val="0"/>
        </w:rPr>
        <w:t xml:space="preserve"> any ≥$20M non-short-term deal with MW disclosed; any single 15–20 MW print.</w:t>
      </w:r>
    </w:p>
    <w:p>
      <w:pPr>
        <w:pStyle w:val="ListBullet"/>
      </w:pPr>
      <w:r>
        <w:rPr>
          <w:b/>
        </w:rPr>
        <w:t>Confirms:</w:t>
      </w:r>
      <w:r>
        <w:rPr>
          <w:b w:val="0"/>
        </w:rPr>
        <w:t xml:space="preserve"> new deals ≤$16.7M; ≤4 of 9 tranches; no Bloom COD or genset filing by ~Nov 9.</w:t>
      </w:r>
    </w:p>
    <w:p>
      <w:pPr>
        <w:pStyle w:val="ListBullet"/>
      </w:pPr>
      <w:r>
        <w:rPr>
          <w:b/>
        </w:rPr>
        <w:t>Stage honesty:</w:t>
      </w:r>
      <w:r>
        <w:rPr>
          <w:b w:val="0"/>
        </w:rPr>
        <w:t xml:space="preserve"> at Bitdeer's ceiling on the high path the PT is $228 vs $237. That's our best case, not the base case ($0).</w:t>
      </w:r>
    </w:p>
    <w:p>
      <w:pPr>
        <w:pStyle w:val="Heading2"/>
      </w:pPr>
      <w:r>
        <w:t>Q&amp;A backup: calendar and court items (Oct 8, ~3:20 PM)</w:t>
      </w:r>
    </w:p>
    <w:p>
      <w:pPr>
        <w:pStyle w:val="ListBullet"/>
      </w:pPr>
      <w:r>
        <w:rPr>
          <w:b/>
        </w:rPr>
        <w:t>Q3 date logic [D/E]:</w:t>
      </w:r>
      <w:r>
        <w:rPr>
          <w:b w:val="0"/>
        </w:rPr>
        <w:t xml:space="preserve"> Nebius has posted its date release 12–20 days before results the last three times (Q3'25 10/22→11/11, Q1'26 5/1→5/13, Q2'26 7/29→8/12; Filings, newsroom). If no release lands by ~Oct 10, assume ~Nov 10, so the Microsoft tranche count and whether the Vineland genset *filing* appears (NJDEP deadline ~Nov 6–9) land in the same week. That's a filing, not a permit decision; a decision would come later (Capacity).</w:t>
      </w:r>
    </w:p>
    <w:p>
      <w:pPr>
        <w:pStyle w:val="ListBullet"/>
      </w:pPr>
      <w:r>
        <w:rPr>
          <w:b/>
        </w:rPr>
        <w:t>Independence MO TRO [R] (stage line, locked Oct 8 PM):</w:t>
      </w:r>
      <w:r>
        <w:rPr>
          <w:b w:val="0"/>
        </w:rPr>
        <w:t xml:space="preserve"> "Phase 1 timing only, worst case under 1.5% of FY27 billed MW, zero at YE26, and an injunction needs a bond." Detail: the hearing is Thu Oct 22 at 10:00 ET, with the TRO and the motion to dismiss heard together. At most 4.6 / 9.3 MW-yr is exposed (0.9% / 1.4% of 531.8 / 659.2), or ~$67M / $134M of revenue at ~$14.5M [E] (Capacity, independence_tro_note.docx). This is appendix only, not a main slide.</w:t>
      </w:r>
    </w:p>
    <w:p>
      <w:pPr>
        <w:pStyle w:val="ListBullet"/>
      </w:pPr>
      <w:r>
        <w:rPr>
          <w:b/>
        </w:rPr>
        <w:t>Bitdeer basis follow-up [R/D]:</w:t>
      </w:r>
      <w:r>
        <w:rPr>
          <w:b w:val="0"/>
        </w:rPr>
        <w:t xml:space="preserve"> its own releases still give no MW basis. But Bitdeer says A202's per-MW economics will be "broadly consistent with A102" (&gt;$16.8M), which points to its run-rate sitting near our band, not at ~$25M. Use this as armor after the ceiling/basis/15 MW points.</w:t>
      </w:r>
    </w:p>
    <w:p>
      <w:pPr>
        <w:pStyle w:val="ListBullet"/>
      </w:pPr>
      <w:r>
        <w:rPr>
          <w:b/>
        </w:rPr>
        <w:t>Meta $12.0B [R]:</w:t>
      </w:r>
      <w:r>
        <w:rPr>
          <w:b w:val="0"/>
        </w:rPr>
        <w:t xml:space="preserve"> no MW in the 3/16 6-K exhibit, the 20-F, the Q1/Q2 letters, or Meta-side commentary. ~$11.5M stays armor only (D, low).</w:t>
      </w:r>
    </w:p>
    <w:p>
      <w:pPr>
        <w:pStyle w:val="Heading2"/>
      </w:pPr>
      <w:r>
        <w:t>Q&amp;A backup: "Peers are stuck too, so Vineland isn't special" (Oct 8 PM, Peer KPIs appendices, box copies only)</w:t>
      </w:r>
    </w:p>
    <w:p>
      <w:pPr>
        <w:pStyle w:val="ListBullet"/>
      </w:pPr>
      <w:r>
        <w:rPr>
          <w:b w:val="0"/>
        </w:rPr>
        <w:t xml:space="preserve">Not all peers are stuck. </w:t>
      </w:r>
      <w:r>
        <w:rPr>
          <w:b/>
        </w:rPr>
        <w:t>Abilene (Crusoe/Oracle) delivered:</w:t>
      </w:r>
      <w:r>
        <w:rPr>
          <w:b w:val="0"/>
        </w:rPr>
        <w:t xml:space="preserve"> Oracle's Sep 10 FQ1 call says 6 of 8 buildings and 618 MW delivered (active 421 → 618) [D]. Vineland has 4 of 9 tranches on gensets, and T5–T9 are waiting on Bloom. Delivering is possible; Nebius just hasn't shown it at Vineland.</w:t>
      </w:r>
    </w:p>
    <w:p>
      <w:pPr>
        <w:pStyle w:val="ListBullet"/>
      </w:pPr>
      <w:r>
        <w:rPr>
          <w:b/>
        </w:rPr>
        <w:t>Childress (IREN):</w:t>
      </w:r>
      <w:r>
        <w:rPr>
          <w:b w:val="0"/>
        </w:rPr>
        <w:t xml:space="preserve"> the permit gap has reopened. Title V #4951 is still only Administrative Complete and now sits inside the Sep 21 Texas pause. So permit risk is real across the sector. That cuts both ways: it's no excuse for Vineland, but it doesn't single Nebius out either.</w:t>
      </w:r>
    </w:p>
    <w:p>
      <w:pPr>
        <w:pStyle w:val="ListBullet"/>
      </w:pPr>
      <w:r>
        <w:rPr>
          <w:b w:val="0"/>
        </w:rPr>
        <w:t>Abilene's buildings 9–10 are also behind the Texas pause (permit 'Technically Complete', not issued). Watch dates: TCEQ Oct 19, ERCOT Dec 10, PUCT Dec 17.</w:t>
      </w:r>
    </w:p>
    <w:p>
      <w:pPr>
        <w:pStyle w:val="ListBullet"/>
      </w:pPr>
      <w:r>
        <w:rPr>
          <w:b w:val="0"/>
        </w:rPr>
        <w:t>Backup if a judge says Abilene proves delivery is easy: Bloomberg (Oct 8) reports Oracle is trucking gas to Shackelford TX and Utah, and the Jupiter pipeline slipped to Feb 1, 2027 under a force-majeure notice [P]. Power is the bottleneck for peers too. No MW or $ figure, so nothing moves.</w:t>
      </w:r>
    </w:p>
    <w:p>
      <w:pPr>
        <w:pStyle w:val="ListBullet"/>
      </w:pPr>
      <w:r>
        <w:rPr>
          <w:b/>
        </w:rPr>
        <w:t>Basis guard (Skeptic/Modeling, Oct 8 PM):</w:t>
      </w:r>
      <w:r>
        <w:rPr>
          <w:b w:val="0"/>
        </w:rPr>
        <w:t xml:space="preserve"> Oracle's 618 MW is *delivered* (handed over by Crusoe), not billed. Use it only to show delivery is possible. Never put it in a MW comparison next to our 531.8 / 659.2 billed.</w:t>
      </w:r>
    </w:p>
    <w:p>
      <w:pPr>
        <w:pStyle w:val="ListBullet"/>
      </w:pPr>
      <w:r>
        <w:rPr>
          <w:b w:val="0"/>
        </w:rPr>
        <w:t>Note: the peer appendices aren't on OneDrive yet (they're waiting on Aadit's OK). Cite the box copies in `peers/sites/`.</w:t>
      </w:r>
    </w:p>
    <w:p>
      <w:pPr>
        <w:pStyle w:val="Heading2"/>
      </w:pPr>
      <w:r>
        <w:t>Q&amp;A backup: "Microsoft is really ~$17M/MW, so your hurdle is too high"</w:t>
      </w:r>
    </w:p>
    <w:p>
      <w:pPr>
        <w:pStyle w:val="ListBullet"/>
      </w:pPr>
      <w:r>
        <w:rPr>
          <w:b/>
        </w:rPr>
        <w:t>Note (Oct 9):</w:t>
      </w:r>
      <w:r>
        <w:rPr>
          <w:b w:val="0"/>
        </w:rPr>
        <w:t xml:space="preserve"> we only *use* $14.49M per IT MW. The $17.1M (GPU-derived MW) and $11.6M (300 MW gross site power) versions are retired in every team file; never stated by Nebius or Microsoft. Keep this section only as the answer if a judge raises either.</w:t>
      </w:r>
    </w:p>
    <w:p>
      <w:pPr>
        <w:pStyle w:val="ListBullet"/>
      </w:pPr>
      <w:r>
        <w:rPr>
          <w:b/>
        </w:rPr>
        <w:t>Armor line (Capacity, agreed by Modeling and GPU Market, Oct 8 PM):</w:t>
      </w:r>
      <w:r>
        <w:rPr>
          <w:b w:val="0"/>
        </w:rPr>
        <w:t xml:space="preserve"> "The $17.1M is the same Microsoft contract on a smaller derived MW count. On the tranche basis it's $14.5M, and the non-MSFT hurdle stays ~$27.6M."</w:t>
      </w:r>
    </w:p>
    <w:p>
      <w:pPr>
        <w:pStyle w:val="ListBullet"/>
      </w:pPr>
      <w:r>
        <w:rPr>
          <w:b w:val="0"/>
        </w:rPr>
        <w:t>The mechanism: ~$3.48B a year ÷ 204 GPU-derived IT MW = $17.1M; ÷ 9 × 26.7 = 240.3 tranche-basis IT MW [E] = $14.5M [E, house]. The contract dollars are the same either way. Microsoft's 182.3 MW-yr comes from when the tranches go live, and the 531.8 total is built site by site, so the denominator doesn't change. (The ~$25.6–26.3M re-cut is dropped.)</w:t>
      </w:r>
    </w:p>
    <w:p>
      <w:pPr>
        <w:pStyle w:val="Heading2"/>
      </w:pPr>
      <w:r>
        <w:t>Attack 6 — "Your MW are mixed bases, and Lambda's print is really above $17M per IT MW."</w:t>
      </w:r>
    </w:p>
    <w:p>
      <w:r>
        <w:rPr>
          <w:b/>
        </w:rPr>
        <w:t>Locked stage line (Grok, Oct 8 11:40 PM):</w:t>
      </w:r>
      <w:r>
        <w:rPr>
          <w:b w:val="0"/>
        </w:rPr>
        <w:t xml:space="preserve"> "Every MW in the lock is IT MW, and the hurdles are per IT MW. Microsoft's MW is our estimate (240 IT across 9 tranches), because Nebius has never disclosed it. The band ($9.7–16.7M) is the price as reported, since the top two prints don't state a basis."</w:t>
      </w:r>
    </w:p>
    <w:p>
      <w:r>
        <w:rPr>
          <w:b/>
        </w:rPr>
        <w:t>Rebuttal:</w:t>
      </w:r>
    </w:p>
    <w:p>
      <w:pPr>
        <w:pStyle w:val="ListBullet"/>
      </w:pPr>
      <w:r>
        <w:rPr>
          <w:b/>
        </w:rPr>
        <w:t>One basis (Modeling, model read):</w:t>
      </w:r>
      <w:r>
        <w:rPr>
          <w:b w:val="0"/>
        </w:rPr>
        <w:t xml:space="preserve"> MSFT_MW Inputs F216 = 240 "dedicated IT MW, 9 tranches"; tranche column header "IT MW" at 26.67 each; $14.5M (F111) = $17.4B TCV / 5 / 240 IT, so the Vineland 182.3 is IT MW-yr. The 349.5 site piece is the IT-converted energized row (lagged one quarter). The </w:t>
      </w:r>
      <w:r>
        <w:rPr>
          <w:b/>
        </w:rPr>
        <w:t>$27.6M non-MSFT hurdle</w:t>
      </w:r>
      <w:r>
        <w:rPr>
          <w:b w:val="0"/>
        </w:rPr>
        <w:t xml:space="preserve"> = (Street FY27 − MSFT revenue) / 349.5 IT and never uses the 182.3. Clear-spot $24.51M / $22.68M are per IT MW.</w:t>
      </w:r>
    </w:p>
    <w:p>
      <w:pPr>
        <w:pStyle w:val="ListBullet"/>
      </w:pPr>
      <w:r>
        <w:rPr>
          <w:b/>
        </w:rPr>
        <w:t>Filings caveat:</w:t>
      </w:r>
      <w:r>
        <w:rPr>
          <w:b w:val="0"/>
        </w:rPr>
        <w:t xml:space="preserve"> no Nebius filing gives Microsoft MW. The 6-K of 9/8/25 and the FY25 20-F say only "dedicated GPU infrastructure capacity in clusters," "in several tranches," TCV "up to about $17.4B through 2031" [R]. 240 / 26.67 are our estimates [E].</w:t>
      </w:r>
    </w:p>
    <w:p>
      <w:pPr>
        <w:pStyle w:val="ListBullet"/>
      </w:pPr>
      <w:r>
        <w:rPr>
          <w:b/>
        </w:rPr>
        <w:t>Why 240 IT (Capacity):</w:t>
      </w:r>
      <w:r>
        <w:rPr>
          <w:b w:val="0"/>
        </w:rPr>
        <w:t xml:space="preserve"> DataOne told NJDEP T1 started on 16 gensets (31.7 MW gross), and T2 added another 16 [R]. At PUE 1.2 that's ~26.4 IT MW per tranche, matching 26.67 [E]. "300 is IT" would need ~33 IT / ~40 gross MW per tranche, more than 16 gensets supply. The Q2'26 top-customer check (~$140M vs ~$193M for an equal split) points to smaller tranches if anything. Stage: "240 IT ties to the genset count per tranche in DataOne's NJDEP letters. If it's off, it's more likely too high than too low."</w:t>
      </w:r>
    </w:p>
    <w:p>
      <w:pPr>
        <w:pStyle w:val="ListBullet"/>
      </w:pPr>
      <w:r>
        <w:rPr>
          <w:b/>
        </w:rPr>
        <w:t>240 sensitivity (Modeling, arithmetic, not a re-solve):</w:t>
      </w:r>
      <w:r>
        <w:rPr>
          <w:b w:val="0"/>
        </w:rPr>
        <w:t xml:space="preserve"> if 240 were gross (200 IT), Vineland ~152 and FY27 billed </w:t>
      </w:r>
      <w:r>
        <w:rPr>
          <w:b/>
        </w:rPr>
        <w:t>501.4 / 628.8</w:t>
      </w:r>
      <w:r>
        <w:rPr>
          <w:b w:val="0"/>
        </w:rPr>
        <w:t xml:space="preserve">; if 300 were IT, ~228 and </w:t>
      </w:r>
      <w:r>
        <w:rPr>
          <w:b/>
        </w:rPr>
        <w:t>577.5 / 704.8</w:t>
      </w:r>
      <w:r>
        <w:rPr>
          <w:b w:val="0"/>
        </w:rPr>
        <w:t xml:space="preserve">. MSFT revenue, the 349.5 and the </w:t>
      </w:r>
      <w:r>
        <w:rPr>
          <w:b/>
        </w:rPr>
        <w:t>$27.6M hurdle are unchanged</w:t>
      </w:r>
      <w:r>
        <w:rPr>
          <w:b w:val="0"/>
        </w:rPr>
        <w:t xml:space="preserve"> either way.</w:t>
      </w:r>
    </w:p>
    <w:p>
      <w:pPr>
        <w:pStyle w:val="ListBullet"/>
      </w:pPr>
      <w:r>
        <w:rPr>
          <w:b/>
        </w:rPr>
        <w:t>Lambda (GPU Market):</w:t>
      </w:r>
      <w:r>
        <w:rPr>
          <w:b w:val="0"/>
        </w:rPr>
        <w:t xml:space="preserve"> 350 MW is from press with no stated basis. If gross, the IT-equivalent at PUE 1.1–1.3 is </w:t>
      </w:r>
      <w:r>
        <w:rPr>
          <w:b/>
        </w:rPr>
        <w:t>~$18.3–21.7M</w:t>
      </w:r>
      <w:r>
        <w:rPr>
          <w:b w:val="0"/>
        </w:rPr>
        <w:t xml:space="preserve"> [E], past the ~$17M turn-positive. Answer: even $21.7M is below the </w:t>
      </w:r>
      <w:r>
        <w:rPr>
          <w:b/>
        </w:rPr>
        <w:t>$22.68M</w:t>
      </w:r>
      <w:r>
        <w:rPr>
          <w:b w:val="0"/>
        </w:rPr>
        <w:t xml:space="preserve"> high-path clear-spot and well below the </w:t>
      </w:r>
      <w:r>
        <w:rPr>
          <w:b/>
        </w:rPr>
        <w:t>~$27.6M</w:t>
      </w:r>
      <w:r>
        <w:rPr>
          <w:b w:val="0"/>
        </w:rPr>
        <w:t xml:space="preserve"> non-MSFT hurdle, so the short holds. Full solves (Modeling, Judge basis, debt tier): </w:t>
      </w:r>
      <w:r>
        <w:rPr>
          <w:b/>
        </w:rPr>
        <w:t>$18.3M → base $50.95 / high $74.35; $21.7M → base $156.78 / high $204.21</w:t>
      </w:r>
      <w:r>
        <w:rPr>
          <w:b w:val="0"/>
        </w:rPr>
        <w:t xml:space="preserve">. </w:t>
      </w:r>
      <w:r>
        <w:rPr>
          <w:b/>
        </w:rPr>
        <w:t>Locked answer:</w:t>
      </w:r>
      <w:r>
        <w:rPr>
          <w:b w:val="0"/>
        </w:rPr>
        <w:t xml:space="preserve"> "Even on the most generous gross reading ($18.3–21.7M per IT MW), the PT is $51–204, still below the $237 spot, and it needs ~322–326M shares of authority at the top end, 4.1–4.2× our headroom." (Re-locked Oct 9; ~261–272M is new shares issued, quote only if labelled.)</w:t>
      </w:r>
    </w:p>
    <w:p>
      <w:pPr>
        <w:pStyle w:val="ListBullet"/>
      </w:pPr>
      <w:r>
        <w:rPr>
          <w:b/>
        </w:rPr>
        <w:t>Bitdeer (GPU Market):</w:t>
      </w:r>
      <w:r>
        <w:rPr>
          <w:b w:val="0"/>
        </w:rPr>
        <w:t xml:space="preserve"> if ≤$22.4M were per gross MW, the IT-equivalent is ~$24.6–29.1M [E], past $24.51M. Answer, in order: secondary sources (Datatech Times, ArusGrid) call the campus "critical IT load" [R, medium]; it's a ceiling ("≤"), not a print; at ~15 MW it's far below material size (≥100 MW or ≥$2B TCV). Stage: "Bitdeer's own releases don't state the basis. Secondary sources say IT, and either way it's a ~15 MW ceiling, not a material print." </w:t>
      </w:r>
      <w:r>
        <w:rPr>
          <w:b/>
        </w:rPr>
        <w:t>Caution (Modeling solve):</w:t>
      </w:r>
      <w:r>
        <w:rPr>
          <w:b w:val="0"/>
        </w:rPr>
        <w:t xml:space="preserve"> at $24.6M (low end of the gross-to-IT range) the PT is </w:t>
      </w:r>
      <w:r>
        <w:rPr>
          <w:b/>
        </w:rPr>
        <w:t>base $239.51 / high $301.47, above spot</w:t>
      </w:r>
      <w:r>
        <w:rPr>
          <w:b w:val="0"/>
        </w:rPr>
        <w:t xml:space="preserve"> (212.5M base / 208.7M high shares of authority, </w:t>
      </w:r>
      <w:r>
        <w:rPr>
          <w:b/>
        </w:rPr>
        <w:t>~2.7×</w:t>
      </w:r>
      <w:r>
        <w:rPr>
          <w:b w:val="0"/>
        </w:rPr>
        <w:t xml:space="preserve"> our 77.8M headroom on both paths; ~170–175M new; "1.8–2.2×" retired, locked Oct 9). Argue it is not a print; the arithmetic doesn't defend it. </w:t>
      </w:r>
      <w:r>
        <w:rPr>
          <w:b/>
        </w:rPr>
        <w:t>Never say "even at the IT-equivalent we're fine."</w:t>
      </w:r>
    </w:p>
    <w:p>
      <w:pPr>
        <w:pStyle w:val="ListBullet"/>
      </w:pPr>
      <w:r>
        <w:rPr>
          <w:b/>
        </w:rPr>
        <w:t>Skeptic honesty note:</w:t>
      </w:r>
      <w:r>
        <w:rPr>
          <w:b w:val="0"/>
        </w:rPr>
        <w:t xml:space="preserve"> don't say "~$0 at every print" without "as reported". On the most generous basis reading, Lambda alone would put the PT above $0.</w:t>
      </w:r>
    </w:p>
    <w:p>
      <w:pPr>
        <w:pStyle w:val="Heading2"/>
      </w:pPr>
      <w:r>
        <w:t>Attack 7 — "Nebius's own Q2 letter says new deals yield $20–25M per MW. $25M is above your $24.51M solve." (locked Oct 9 AM)</w:t>
      </w:r>
    </w:p>
    <w:p>
      <w:pPr>
        <w:pStyle w:val="ListBullet"/>
      </w:pPr>
      <w:r>
        <w:rPr>
          <w:b/>
        </w:rPr>
        <w:t>Source:</w:t>
      </w:r>
      <w:r>
        <w:rPr>
          <w:b w:val="0"/>
        </w:rPr>
        <w:t xml:space="preserve"> Q2'26 letter (6-K 8/12/26 Ex.99.2, p.3–4) [R]: four "landmark deals for our AI cloud business," avg &gt;$1B TCV each, "a yield of $20–25 million per megawatt"; named Reflection and Cohere. MW basis not defined; ACV on a revenue-recognition basis excl. prepayment; mid-term core contracts "average one to three years." Meta Rubin ($12B, Q1) is not one of the four (Filings).</w:t>
      </w:r>
    </w:p>
    <w:p>
      <w:pPr>
        <w:pStyle w:val="ListBullet"/>
      </w:pPr>
      <w:r>
        <w:rPr>
          <w:b/>
        </w:rPr>
        <w:t>Model treatment:</w:t>
      </w:r>
      <w:r>
        <w:rPr>
          <w:b w:val="0"/>
        </w:rPr>
        <w:t xml:space="preserve"> the four deals have no rows; they sit in the unsold pool at $16M GB300 (Modeling). Implied size from &gt;$4B TCV at 1–3 yrs: ~53–200 MW [D]; 36 MW only if 5 yrs.</w:t>
      </w:r>
    </w:p>
    <w:p>
      <w:pPr>
        <w:pStyle w:val="ListBullet"/>
      </w:pPr>
      <w:r>
        <w:rPr>
          <w:b/>
        </w:rPr>
        <w:t>Stage answer, in order:</w:t>
      </w:r>
      <w:r>
        <w:rPr>
          <w:b w:val="0"/>
        </w:rPr>
        <w:t xml:space="preserve"> (1) Tenor: the letter says mid-term contracts average 1–3 years, the tenor selling now; clearing spot needs the whole book at the top of that range ($24.51M is the 90th percentile of $20–25M), repricing at renewal into the Rubin wave. (2) Delivery: 200 MW in one year is more than Nebius's entire live fleet (193 MW as stated / 182.5 IT at Q2'26; Capacity). (3) Math: "Even if the four Q2 deals were 200 MW at $25M forever, base stays at $0. The hurdle is the price on ~2 GW by 2030, not on four deals."</w:t>
      </w:r>
    </w:p>
    <w:p>
      <w:pPr>
        <w:pStyle w:val="ListBullet"/>
      </w:pPr>
      <w:r>
        <w:rPr>
          <w:b/>
        </w:rPr>
        <w:t>Fixed-carve-out solves (Modeling, Judge basis, debt tier; first X MW from Q1'27 at P for the whole horizon, rest at $16M):</w:t>
      </w:r>
    </w:p>
    <w:p>
      <w:pPr>
        <w:pStyle w:val="ListBullet"/>
      </w:pPr>
      <w:r>
        <w:rPr>
          <w:b w:val="0"/>
        </w:rPr>
        <w:t>36 / 53 / 89 MW: $0 base and high at both $22.5M and $25M.</w:t>
      </w:r>
    </w:p>
    <w:p>
      <w:pPr>
        <w:pStyle w:val="ListBullet"/>
      </w:pPr>
      <w:r>
        <w:rPr>
          <w:b w:val="0"/>
        </w:rPr>
        <w:t xml:space="preserve">200 MW at $22.5M: $0 / $0. 200 MW at $25M: $0 base / </w:t>
      </w:r>
      <w:r>
        <w:rPr>
          <w:b/>
        </w:rPr>
        <w:t>$4.35 high</w:t>
      </w:r>
      <w:r>
        <w:rPr>
          <w:b w:val="0"/>
        </w:rPr>
        <w:t>. If asked, say "$4.35," don't round to zero. EV moves −$0.9B → $3.45B base, $1.66B → $8.09B high, vs ~$74B implied at spot.</w:t>
      </w:r>
    </w:p>
    <w:p>
      <w:pPr>
        <w:pStyle w:val="ListBullet"/>
      </w:pPr>
      <w:r>
        <w:rPr>
          <w:b w:val="0"/>
        </w:rPr>
        <w:t>Method note: a constant share of the pool overstates it (e.g. $248 at 200 MW / $22.5M) because it turns a fixed X into hundreds of MW by 2030.</w:t>
      </w:r>
    </w:p>
    <w:p>
      <w:pPr>
        <w:pStyle w:val="ListBullet"/>
      </w:pPr>
      <w:r>
        <w:rPr>
          <w:b/>
        </w:rPr>
        <w:t>~2 GW backing (Capacity):</w:t>
      </w:r>
      <w:r>
        <w:rPr>
          <w:b w:val="0"/>
        </w:rPr>
        <w:t xml:space="preserve"> YE30 energized IT 2,392 / 2,841 / 3,290 MW low/base/high [E]; ex MSFT ~240 and Meta ~157, ~2.0 / 2.4 / 2.9 GW uncommitted. Modeling's ~1.9–2.3 GW pool sits at or below Capacity's base.</w:t>
      </w:r>
    </w:p>
    <w:p>
      <w:pPr>
        <w:pStyle w:val="ListBullet"/>
      </w:pPr>
      <w:r>
        <w:rPr>
          <w:b/>
        </w:rPr>
        <w:t>Scorecard:</w:t>
      </w:r>
      <w:r>
        <w:rPr>
          <w:b w:val="0"/>
        </w:rPr>
        <w:t xml:space="preserve"> A stays 23/25. Differentiation gets stronger (the Street's $27.6M is above management's own range top). Duration risk is named: the honest bull case is the uncontracted book sold at 1–3 year tenor at today's $20–25M and repriced up at renewal.</w:t>
      </w:r>
    </w:p>
    <w:p>
      <w:pPr>
        <w:pStyle w:val="Heading2"/>
      </w:pPr>
      <w:r>
        <w:t>Q&amp;A backup (ACTIVE, promoted Oct 9 ~3:30 PM): "RunPod raised prices 14–18%. GPUs are tight."</w:t>
      </w:r>
    </w:p>
    <w:p>
      <w:pPr>
        <w:pStyle w:val="ListBullet"/>
      </w:pPr>
      <w:r>
        <w:rPr>
          <w:b/>
        </w:rPr>
        <w:t>Fact line:</w:t>
      </w:r>
      <w:r>
        <w:rPr>
          <w:b w:val="0"/>
        </w:rPr>
        <w:t xml:space="preserve"> "RunPod's visible list prices rose ~14–18% on Oct 9; Nebius's didn't move." [D] (H100 SXM $3.49→$3.99 +14%, H200 $4.59→$5.29 +15%, B200 $6.79→$7.99 +18%, B300 $7.89→$8.99 +14%; held at the 3:27 PM re-check. The page's built-in pricing data, dated 9/27, still shows the old prices, and there's no second source. H100 NVL/PCIe unchanged.) GPU Market re-checks ~9:15 AM Sat; if it reverts, drop this section.</w:t>
      </w:r>
    </w:p>
    <w:p>
      <w:pPr>
        <w:pStyle w:val="ListBullet"/>
      </w:pPr>
      <w:r>
        <w:rPr>
          <w:b/>
        </w:rPr>
        <w:t>Don't use the "small marketplace" framing:</w:t>
      </w:r>
      <w:r>
        <w:rPr>
          <w:b w:val="0"/>
        </w:rPr>
        <w:t xml:space="preserve"> it invites the "spot leads contracts" comeback.</w:t>
      </w:r>
    </w:p>
    <w:p>
      <w:pPr>
        <w:pStyle w:val="ListBullet"/>
      </w:pPr>
      <w:r>
        <w:rPr>
          <w:b/>
        </w:rPr>
        <w:t>Don't deny the tightness.</w:t>
      </w:r>
      <w:r>
        <w:rPr>
          <w:b w:val="0"/>
        </w:rPr>
        <w:t xml:space="preserve"> A judge will tie it to Attack 7: tight on-demand pricing is the mechanism behind the honest bull case (sell the uncontracted book short-tenor at $20–25M, then reprice up). Don't call the Q2 deals 1–3 year: the letter gives no term for them (1–3 yrs is its general mid-term statement).</w:t>
      </w:r>
    </w:p>
    <w:p>
      <w:pPr>
        <w:pStyle w:val="ListBullet"/>
      </w:pPr>
      <w:r>
        <w:rPr>
          <w:b/>
        </w:rPr>
        <w:t>Answer (locked):</w:t>
      </w:r>
      <w:r>
        <w:rPr>
          <w:b w:val="0"/>
        </w:rPr>
        <w:t xml:space="preserve"> "Yes, short-term GPUs are tight, and management's $20–25M on its Q2 deals is already in our numbers: even 200 MW at $25M forever leaves base at $0. On-demand plus Token Factory is ~4% of revenue on our estimate (range 1–9%), and Nebius's own list prices didn't move. The question isn't whether GPUs are tight this quarter. It's whether ~2 GW can be priced above $24.51M per IT MW through the Rubin supply wave."</w:t>
      </w:r>
    </w:p>
    <w:p>
      <w:pPr>
        <w:pStyle w:val="Heading2"/>
      </w:pPr>
      <w:r>
        <w:t>Final-pass log (Fri Oct 9 ~11 AM)</w:t>
      </w:r>
    </w:p>
    <w:p>
      <w:pPr>
        <w:pStyle w:val="ListBullet"/>
      </w:pPr>
      <w:r>
        <w:rPr>
          <w:b w:val="0"/>
        </w:rPr>
        <w:t>Fixed to locks: spot $243 → $237.15 (x2); v0.9d → v0.9e; "Street ~$26M" → ~$27.6M; "≥$22–24M" trigger → ≥$22.7M / ≥$24.51M cover lines; Q3 date wording → neutral/~Nov 10; Case (a) 209M/~97M → 215M authority, 2.8×; cheat sheet "~2× headroom" → 2.8–3.0×; Insight A "per billed MW" → per IT MW; RunPod draft duplicate phrase. Cheat sheet adds Attacks 6–7. Pre-pass copy: 06_judge_qa_attacks_pre_final_oct9.md.</w:t>
      </w:r>
    </w:p>
    <w:p>
      <w:pPr>
        <w:pStyle w:val="ListBullet"/>
      </w:pPr>
      <w:r>
        <w:rPr>
          <w:b w:val="0"/>
        </w:rPr>
        <w:t>Resolved Oct 9 ~11:05 (Modeling/Filings/Capacity/GPU Market/Grok): MSFT $11.6M cut (300 MW gross derivation, never stated) and $17.1M retired as a used figure; $19.6M → "~$18–20M depending on WACC [D]"; short-term mix math cut, replaced by mixed-route and carve-out solves; blended $23.13M labelled; Attack 3 → ~55% flat-split cover [E], $12.3B tagged [E, consensus], 61% dropped.</w:t>
      </w:r>
    </w:p>
    <w:p>
      <w:pPr>
        <w:pStyle w:val="ListBullet"/>
      </w:pPr>
      <w:r>
        <w:rPr>
          <w:b w:val="0"/>
        </w:rPr>
        <w:t>Originally flagged: Attack 4 "~$11.6–14.5M/MW" MSFT range and ~$19.6M owned-Rubin breakeven; Attack 5 mix math (22% / 35% ST share, v0.9d-era); Insight A "blended ~$23.1M" (earlier note said ~$22.9M); Attack 3 Street FY27 $12.3B and 55–61% RPO cover.</w:t>
      </w:r>
    </w:p>
    <w:p>
      <w:pPr>
        <w:pStyle w:val="Heading2"/>
      </w:pPr>
      <w:r>
        <w:t>Final red-team of the locked deck line and Attack 7 solves (Fri Oct 9, ~2:35 PM): top 3 Q&amp;A attacks</w:t>
      </w:r>
    </w:p>
    <w:p>
      <w:r>
        <w:rPr>
          <w:b w:val="0"/>
        </w:rPr>
        <w:t xml:space="preserve">1. </w:t>
      </w:r>
      <w:r>
        <w:rPr>
          <w:b/>
        </w:rPr>
        <w:t>"A $0 PT isn't credible for a company with $37.5B of RPO."</w:t>
      </w:r>
      <w:r>
        <w:rPr>
          <w:b w:val="0"/>
        </w:rPr>
        <w:t xml:space="preserve"> Answer: "$0 is the value of the build plan, not of the company. At band prices every new MW earns less than it costs: the band top is $16.7M, and the stand-alone owned-Rubin breakeven is $18.2–19.6M depending on WACC [D]. Building destroys value. If Nebius stopped building, the equity is worth about $13 a share (stop-building $13.21, v0.9e [D]). Neither number is near $237." Never say "the equity is worthless."</w:t>
      </w:r>
    </w:p>
    <w:p>
      <w:r>
        <w:rPr>
          <w:b w:val="0"/>
        </w:rPr>
        <w:t xml:space="preserve">2. </w:t>
      </w:r>
      <w:r>
        <w:rPr>
          <w:b/>
        </w:rPr>
        <w:t>"The ~$27.6M is your MW divided into the Street's revenue. The Street may just assume more MW."</w:t>
      </w:r>
      <w:r>
        <w:rPr>
          <w:b w:val="0"/>
        </w:rPr>
        <w:t xml:space="preserve"> That's the fork, so we own it. Answer: "Right, it's price or MW. On our MW the non-MSFT book needs ~$27.6M. At $16M the Street needs ~769 billed MW in FY27, 1.45× our base and 1.17× our high path. Either one is a call we can test at Q3: the tranche count and any deal printed with MW." Deck tweak approved by Grok Oct 9 ~2:35 PM: line now ends "…on our MW."</w:t>
      </w:r>
    </w:p>
    <w:p>
      <w:r>
        <w:rPr>
          <w:b w:val="0"/>
        </w:rPr>
        <w:t xml:space="preserve">3. </w:t>
      </w:r>
      <w:r>
        <w:rPr>
          <w:b/>
        </w:rPr>
        <w:t>"Your carve-out solves price ~2 GW of 2028–30 Rubin at $16M GB300 pricing. Rubin is a better chip and should cost more per MW."</w:t>
      </w:r>
      <w:r>
        <w:rPr>
          <w:b w:val="0"/>
        </w:rPr>
        <w:t xml:space="preserve"> Answer: "The Judge basis already prices Rubin above GB300, and Rubin capex per MW is flat to higher, so better chips don't widen returns. Put the whole pool at $18M, already ~12% above our Rubin base, and the PT is only $39–63." (Rubin base is $16.2M = $16M GB300 × 16.2/16; the $18M row has Rubin ~$18.2M. Locked Oct 9 ~2:35 PM.) Don't claim Rubin is priced at $16M with no uplift.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