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Friday Candidate-Insight Shortlist (for Oct 9 debate)</w:t>
      </w:r>
    </w:p>
    <w:p>
      <w:r>
        <w:t>*Nebius Skeptic · Mon Oct 5, 2026 ~12:45 PM ET · pick 1–2 differentiated insights for the Point72 pitch*</w:t>
      </w:r>
    </w:p>
    <w:p>
      <w:r/>
      <w:r>
        <w:rPr>
          <w:b/>
        </w:rPr>
        <w:t>Standard:</w:t>
      </w:r>
      <w:r>
        <w:t xml:space="preserve"> original evidence, not consensus; drives earnings/cash flow; survives judge attack.</w:t>
      </w:r>
    </w:p>
    <w:p>
      <w:pPr>
        <w:pStyle w:val="Heading2"/>
      </w:pPr>
      <w:r>
        <w:t>Ranked candidates</w:t>
      </w:r>
    </w:p>
    <w:p>
      <w:pPr>
        <w:pStyle w:val="Heading3"/>
      </w:pPr>
      <w:r>
        <w:t>A. **Price-or-MW fork** (lead recommendation) — Confidence High</w:t>
      </w:r>
    </w:p>
    <w:p>
      <w:r/>
      <w:r>
        <w:rPr>
          <w:b/>
        </w:rPr>
        <w:t>Insight:</w:t>
      </w:r>
      <w:r>
        <w:t xml:space="preserve"> At $243 the market is underwriting either ~$24.7–26M per billed IT MW (against disclosed-MW comps $9.7–16.2M†) </w:t>
      </w:r>
      <w:r>
        <w:rPr>
          <w:b/>
        </w:rPr>
        <w:t>or</w:t>
      </w:r>
      <w:r>
        <w:t xml:space="preserve"> ~769 FY27 billing MW at $16M (vs Capacity high ~645, ~19% gap). YE26 $7–9B guide implies $27–32M on 258/284 billing MW.</w:t>
      </w:r>
    </w:p>
    <w:p>
      <w:r/>
      <w:r>
        <w:rPr>
          <w:b/>
        </w:rPr>
        <w:t>Evidence:</w:t>
      </w:r>
      <w:r>
        <w:t xml:space="preserve"> Peer KPIs price_or_mw; Modeling Judge line 1 $24.7/$20.4 on 358.3M; Capacity billing locks; GPU Market hyperscaler table + NONE FOUND mid-term ≥$20M disclosed-MW.</w:t>
      </w:r>
    </w:p>
    <w:p>
      <w:r/>
      <w:r>
        <w:rPr>
          <w:b/>
        </w:rPr>
        <w:t>Why differentiated:</w:t>
      </w:r>
      <w:r>
        <w:t xml:space="preserve"> forces the judge to pick a reading; Q3 (~Nov 10) is the first dated print.</w:t>
      </w:r>
    </w:p>
    <w:p>
      <w:r/>
      <w:r>
        <w:rPr>
          <w:b/>
        </w:rPr>
        <w:t>Kill if:</w:t>
      </w:r>
      <w:r>
        <w:t xml:space="preserve"> multiple mid-term ACVs ≥$22–24M with disclosed MW, or YE26 billing ≫284.</w:t>
      </w:r>
    </w:p>
    <w:p>
      <w:pPr>
        <w:pStyle w:val="Heading3"/>
      </w:pPr>
      <w:r>
        <w:t>B. **Connected ≠ billing (build path now)** — Confidence High</w:t>
      </w:r>
    </w:p>
    <w:p>
      <w:r/>
      <w:r>
        <w:rPr>
          <w:b/>
        </w:rPr>
        <w:t>Insight:</w:t>
      </w:r>
      <w:r>
        <w:t xml:space="preserve"> YE26 ~941 MW "connected" (mgmt 800 MW–1 GW guide) vs ~302 active vs billing 258/284 is not spare capacity — it's shell/fit-out ahead of GPUs and power exceptions (Vineland Bloom).</w:t>
      </w:r>
    </w:p>
    <w:p>
      <w:r/>
      <w:r>
        <w:rPr>
          <w:b/>
        </w:rPr>
        <w:t>Evidence:</w:t>
      </w:r>
      <w:r>
        <w:t xml:space="preserve"> Capacity ye26_active_vs_connected + connected definition; Filings language; Vineland 4-of-9 / Bloom none-found.</w:t>
      </w:r>
    </w:p>
    <w:p>
      <w:r/>
      <w:r>
        <w:rPr>
          <w:b/>
        </w:rPr>
        <w:t>Why differentiated:</w:t>
      </w:r>
      <w:r>
        <w:t xml:space="preserve"> kills the "they have 3× the grid" attack before it's asked; pairs with A.</w:t>
      </w:r>
    </w:p>
    <w:p>
      <w:r/>
      <w:r>
        <w:rPr>
          <w:b/>
        </w:rPr>
        <w:t>Kill if:</w:t>
      </w:r>
      <w:r>
        <w:t xml:space="preserve"> Q3 discloses active/billing MW that closes the gap without price stress.</w:t>
      </w:r>
    </w:p>
    <w:p>
      <w:pPr>
        <w:pStyle w:val="Heading3"/>
      </w:pPr>
      <w:r>
        <w:t>C. **22-month payback is financing timing, not unit economics** — Confidence Medium-High</w:t>
      </w:r>
    </w:p>
    <w:p>
      <w:r/>
      <w:r>
        <w:rPr>
          <w:b/>
        </w:rPr>
        <w:t>Insight:</w:t>
      </w:r>
      <w:r>
        <w:t xml:space="preserve"> Mgmt's 1y10m payback is net-capex / credit-timing (or racks below disclosed capex), not NPV. Deferred recognition fits even-from-go-live on delivered MW; cash-credit schedule undisclosed. Prepay cuts shares issued; doesn't make deals more profitable. Flat $16.5M 5-yr is below stand-alone breakeven ~$18.5–19M.</w:t>
      </w:r>
    </w:p>
    <w:p>
      <w:r/>
      <w:r>
        <w:rPr>
          <w:b/>
        </w:rPr>
        <w:t>Evidence:</w:t>
      </w:r>
      <w:r>
        <w:t xml:space="preserve"> Modeling Payback_Recon; Filings handoff; Q2 letter; Capacity Vineland MW for deferred math.</w:t>
      </w:r>
    </w:p>
    <w:p>
      <w:r/>
      <w:r>
        <w:rPr>
          <w:b/>
        </w:rPr>
        <w:t>Why differentiated:</w:t>
      </w:r>
      <w:r>
        <w:t xml:space="preserve"> dismantles a common bull slide without inventing numbers.</w:t>
      </w:r>
    </w:p>
    <w:p>
      <w:r/>
      <w:r>
        <w:rPr>
          <w:b/>
        </w:rPr>
        <w:t>Kill if:</w:t>
      </w:r>
      <w:r>
        <w:t xml:space="preserve"> Nebius discloses a back-loaded credit schedule that truly shortens cash payback at constant NPV… or shows rack capex well below Capacity's IT $/MW.</w:t>
      </w:r>
    </w:p>
    <w:p>
      <w:pPr>
        <w:pStyle w:val="Heading3"/>
      </w:pPr>
      <w:r>
        <w:t>D. **Long unlock has no public evidence** — Confidence High (supporting, not standalone)</w:t>
      </w:r>
    </w:p>
    <w:p>
      <w:r/>
      <w:r>
        <w:rPr>
          <w:b/>
        </w:rPr>
        <w:t>Insight:</w:t>
      </w:r>
      <w:r>
        <w:t xml:space="preserve"> ZERO signed mid-term ACV ≥$20M/IT MW with disclosed MW. Rising H200/B200 lists don't change that. D3/A4 need a print that doesn't exist.</w:t>
      </w:r>
    </w:p>
    <w:p>
      <w:r/>
      <w:r>
        <w:rPr>
          <w:b/>
        </w:rPr>
        <w:t>Evidence:</w:t>
      </w:r>
      <w:r>
        <w:t xml:space="preserve"> GPU Market MidTerm_20M_Search; list histories; Modeling long_bull_v09d.</w:t>
      </w:r>
    </w:p>
    <w:p>
      <w:r/>
      <w:r>
        <w:rPr>
          <w:b/>
        </w:rPr>
        <w:t>Use:</w:t>
      </w:r>
      <w:r>
        <w:t xml:space="preserve"> secondary punch under A, not the sole insight.</w:t>
      </w:r>
    </w:p>
    <w:p>
      <w:pPr>
        <w:pStyle w:val="Heading3"/>
      </w:pPr>
      <w:r>
        <w:t>E. **Funding bind even in the bull** — Confidence High (secondary)</w:t>
      </w:r>
    </w:p>
    <w:p>
      <w:r/>
      <w:r>
        <w:rPr>
          <w:b/>
        </w:rPr>
        <w:t>Insight:</w:t>
      </w:r>
      <w:r>
        <w:t xml:space="preserve"> Clearing $243 on price-only needs ~$24.7M and ~209M shares in Case (a) vs ~94–115M headroom — authority blows ~2×. Dilution is a price problem, not Class A governance theater.</w:t>
      </w:r>
    </w:p>
    <w:p>
      <w:r/>
      <w:r>
        <w:rPr>
          <w:b/>
        </w:rPr>
        <w:t>Evidence:</w:t>
      </w:r>
      <w:r>
        <w:t xml:space="preserve"> Filings dilution one-pager; Modeling Cover/Judge on 358.3M.</w:t>
      </w:r>
    </w:p>
    <w:p>
      <w:r/>
      <w:r>
        <w:rPr>
          <w:b/>
        </w:rPr>
        <w:t>Use:</w:t>
      </w:r>
      <w:r>
        <w:t xml:space="preserve"> closes the "just issue equity" rebuttal; not the 1–2 insight centerpiece.</w:t>
      </w:r>
    </w:p>
    <w:p>
      <w:pPr>
        <w:pStyle w:val="Heading3"/>
      </w:pPr>
      <w:r>
        <w:t>Deprioritize for Friday</w:t>
      </w:r>
    </w:p>
    <w:p>
      <w:pPr>
        <w:pStyle w:val="ListBullet"/>
      </w:pPr>
      <w:r>
        <w:t>Class A 35–42% no-votes — color only (AGM already passed).</w:t>
      </w:r>
    </w:p>
    <w:p>
      <w:pPr>
        <w:pStyle w:val="ListBullet"/>
      </w:pPr>
      <w:r>
        <w:t>Token Factory / software stack premium — evidence ~1–4% of rev; not yet differentiated.</w:t>
      </w:r>
    </w:p>
    <w:p>
      <w:pPr>
        <w:pStyle w:val="ListBullet"/>
      </w:pPr>
      <w:r>
        <w:t>Peer EV/MW alone without the billed-MW denom — too easy to muddy with gross vs IT.</w:t>
      </w:r>
    </w:p>
    <w:p>
      <w:pPr>
        <w:pStyle w:val="Heading2"/>
      </w:pPr>
      <w:r>
        <w:t>Proposed Friday package (1–2 insights)</w:t>
      </w:r>
    </w:p>
    <w:p>
      <w:r/>
      <w:r>
        <w:rPr>
          <w:b/>
        </w:rPr>
        <w:t>Primary:</w:t>
      </w:r>
      <w:r>
        <w:t xml:space="preserve"> </w:t>
      </w:r>
      <w:r>
        <w:rPr>
          <w:b/>
        </w:rPr>
        <w:t>A (price-or-MW fork)</w:t>
      </w:r>
      <w:r/>
    </w:p>
    <w:p>
      <w:r/>
      <w:r>
        <w:rPr>
          <w:b/>
        </w:rPr>
        <w:t>Secondary / Q&amp;A armor:</w:t>
      </w:r>
      <w:r>
        <w:t xml:space="preserve"> </w:t>
      </w:r>
      <w:r>
        <w:rPr>
          <w:b/>
        </w:rPr>
        <w:t>B (connected ≠ billing)</w:t>
      </w:r>
      <w:r>
        <w:t xml:space="preserve"> + Attack sheet #1–2</w:t>
      </w:r>
    </w:p>
    <w:p>
      <w:r>
        <w:t>C as optional third slide if judges lean on the 22-month payback.</w:t>
      </w:r>
    </w:p>
    <w:p>
      <w:r/>
      <w:r>
        <w:rPr>
          <w:b/>
        </w:rPr>
        <w:t>Open asks before Friday:</w:t>
      </w:r>
      <w:r>
        <w:t xml:space="preserve"> Filings Q3 watch-list + $40B vs $37.5B RPO recon; Modeling Thu driver handoff with 6m/12m/3y PTs; Capacity connected definition already locked.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